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143ADC" w:rsidR="00356FBE" w:rsidP="00356FBE" w:rsidRDefault="00356FBE" w14:paraId="41DCB611" w14:textId="0FAD2273">
      <w:pPr>
        <w:rPr>
          <w:rFonts w:ascii="Calibri" w:hAnsi="Calibri" w:cs="Calibri"/>
        </w:rPr>
      </w:pPr>
      <w:r w:rsidRPr="12BD0A77" w:rsidR="00356FBE">
        <w:rPr>
          <w:rFonts w:ascii="Calibri" w:hAnsi="Calibri" w:cs="Calibri"/>
          <w:b w:val="1"/>
          <w:bCs w:val="1"/>
          <w:u w:val="single"/>
        </w:rPr>
        <w:t xml:space="preserve">MLI Modifications: </w:t>
      </w:r>
      <w:r w:rsidRPr="12BD0A77" w:rsidR="00356FBE">
        <w:rPr>
          <w:rFonts w:ascii="Calibri" w:hAnsi="Calibri" w:cs="Calibri"/>
          <w:b w:val="1"/>
          <w:bCs w:val="1"/>
          <w:u w:val="single"/>
        </w:rPr>
        <w:t>Canada</w:t>
      </w:r>
      <w:r w:rsidRPr="12BD0A77" w:rsidR="4D7C4E27">
        <w:rPr>
          <w:rFonts w:ascii="Calibri" w:hAnsi="Calibri" w:cs="Calibri"/>
          <w:b w:val="1"/>
          <w:bCs w:val="1"/>
          <w:u w:val="single"/>
        </w:rPr>
        <w:t>-Kenya</w:t>
      </w:r>
    </w:p>
    <w:p w:rsidRPr="00143ADC" w:rsidR="00356FBE" w:rsidP="00356FBE" w:rsidRDefault="00356FBE" w14:paraId="4B4192A0" w14:textId="392F88DF">
      <w:pPr>
        <w:rPr>
          <w:rFonts w:ascii="Calibri" w:hAnsi="Calibri" w:cs="Calibri"/>
        </w:rPr>
      </w:pPr>
      <w:r w:rsidRPr="00143ADC">
        <w:rPr>
          <w:rFonts w:ascii="Calibri" w:hAnsi="Calibri" w:cs="Calibri"/>
          <w:i/>
          <w:iCs/>
        </w:rPr>
        <w:t>Editor’s Note: This summary is based on the MLI positions submitted to the Depositary upon the deposit of the ratification instruments by Canada and Kenya, and does not constitute business, legal, tax, or other professional advice or services. It is intended only to provide a general guide</w:t>
      </w:r>
      <w:r w:rsidRPr="00143ADC">
        <w:rPr>
          <w:rFonts w:ascii="Calibri" w:hAnsi="Calibri" w:cs="Calibri"/>
        </w:rPr>
        <w:t xml:space="preserve">. </w:t>
      </w:r>
      <w:r w:rsidRPr="00143ADC">
        <w:rPr>
          <w:rFonts w:ascii="Calibri" w:hAnsi="Calibri" w:cs="Calibri"/>
          <w:i/>
          <w:iCs/>
        </w:rPr>
        <w:t xml:space="preserve">In applying the MLI provisions to this treaty, researchers should ensure they review other relevant MLI sources. Please see the Bloomberg Tax </w:t>
      </w:r>
      <w:hyperlink w:tgtFrame="_blank" w:history="1" r:id="rId4">
        <w:r w:rsidRPr="00143ADC">
          <w:rPr>
            <w:rStyle w:val="Hyperlink"/>
            <w:rFonts w:ascii="Calibri" w:hAnsi="Calibri" w:cs="Calibri"/>
            <w:i/>
            <w:iCs/>
          </w:rPr>
          <w:t>MLI Watch</w:t>
        </w:r>
      </w:hyperlink>
      <w:r w:rsidRPr="00143ADC">
        <w:rPr>
          <w:rFonts w:ascii="Calibri" w:hAnsi="Calibri" w:cs="Calibri"/>
          <w:i/>
          <w:iCs/>
        </w:rPr>
        <w:t xml:space="preserve"> page for further research. </w:t>
      </w:r>
      <w:r w:rsidRPr="00143ADC">
        <w:rPr>
          <w:rFonts w:ascii="Calibri" w:hAnsi="Calibri" w:cs="Calibri"/>
        </w:rPr>
        <w:t> </w:t>
      </w:r>
    </w:p>
    <w:p w:rsidRPr="00143ADC" w:rsidR="00356FBE" w:rsidP="00356FBE" w:rsidRDefault="00356FBE" w14:paraId="2DA2E5E8" w14:textId="6E6446CC">
      <w:pPr>
        <w:rPr>
          <w:rFonts w:ascii="Calibri" w:hAnsi="Calibri" w:cs="Calibri"/>
        </w:rPr>
      </w:pPr>
      <w:r w:rsidRPr="00143ADC">
        <w:rPr>
          <w:rFonts w:ascii="Calibri" w:hAnsi="Calibri" w:cs="Calibri"/>
          <w:b/>
          <w:bCs/>
        </w:rPr>
        <w:t xml:space="preserve">Date this </w:t>
      </w:r>
      <w:r w:rsidRPr="00143ADC" w:rsidR="0047663D">
        <w:rPr>
          <w:rFonts w:ascii="Calibri" w:hAnsi="Calibri" w:cs="Calibri"/>
          <w:b/>
          <w:bCs/>
        </w:rPr>
        <w:t>Agreement</w:t>
      </w:r>
      <w:r w:rsidRPr="00143ADC">
        <w:rPr>
          <w:rFonts w:ascii="Calibri" w:hAnsi="Calibri" w:cs="Calibri"/>
          <w:b/>
          <w:bCs/>
        </w:rPr>
        <w:t xml:space="preserve"> is Modified by the MLI (Enters into Force):</w:t>
      </w:r>
      <w:r w:rsidRPr="00143ADC">
        <w:rPr>
          <w:rFonts w:ascii="Calibri" w:hAnsi="Calibri" w:cs="Calibri"/>
        </w:rPr>
        <w:t xml:space="preserve"> May 1, 2025 </w:t>
      </w:r>
    </w:p>
    <w:p w:rsidRPr="00143ADC" w:rsidR="00356FBE" w:rsidP="00356FBE" w:rsidRDefault="00356FBE" w14:paraId="5D5AD0B1" w14:textId="77777777">
      <w:pPr>
        <w:rPr>
          <w:rFonts w:ascii="Calibri" w:hAnsi="Calibri" w:cs="Calibri"/>
        </w:rPr>
      </w:pPr>
      <w:r w:rsidRPr="00143ADC">
        <w:rPr>
          <w:rFonts w:ascii="Calibri" w:hAnsi="Calibri" w:cs="Calibri"/>
          <w:b/>
          <w:bCs/>
        </w:rPr>
        <w:t xml:space="preserve">MLI instrument of ratification deposited (Canada): </w:t>
      </w:r>
      <w:r w:rsidRPr="00143ADC">
        <w:rPr>
          <w:rFonts w:ascii="Calibri" w:hAnsi="Calibri" w:cs="Calibri"/>
        </w:rPr>
        <w:t>August 29, 2019 </w:t>
      </w:r>
    </w:p>
    <w:p w:rsidRPr="00143ADC" w:rsidR="00356FBE" w:rsidP="00356FBE" w:rsidRDefault="00356FBE" w14:paraId="00050739" w14:textId="74F8B9DD">
      <w:pPr>
        <w:rPr>
          <w:rFonts w:ascii="Calibri" w:hAnsi="Calibri" w:cs="Calibri"/>
        </w:rPr>
      </w:pPr>
      <w:r w:rsidRPr="00143ADC">
        <w:rPr>
          <w:rFonts w:ascii="Calibri" w:hAnsi="Calibri" w:cs="Calibri"/>
          <w:b/>
          <w:bCs/>
        </w:rPr>
        <w:t xml:space="preserve">MLI instrument of ratification deposited (Kenya): </w:t>
      </w:r>
      <w:r w:rsidRPr="00143ADC">
        <w:rPr>
          <w:rFonts w:ascii="Calibri" w:hAnsi="Calibri" w:cs="Calibri"/>
        </w:rPr>
        <w:t>January 8, 2025</w:t>
      </w:r>
    </w:p>
    <w:p w:rsidRPr="00143ADC" w:rsidR="00356FBE" w:rsidP="00356FBE" w:rsidRDefault="00356FBE" w14:paraId="5BF2BEEB" w14:textId="7F24C5AD">
      <w:pPr>
        <w:rPr>
          <w:rFonts w:ascii="Calibri" w:hAnsi="Calibri" w:cs="Calibri"/>
        </w:rPr>
      </w:pPr>
      <w:r w:rsidRPr="00143ADC">
        <w:rPr>
          <w:rFonts w:ascii="Calibri" w:hAnsi="Calibri" w:cs="Calibri"/>
          <w:b/>
          <w:bCs/>
        </w:rPr>
        <w:t>MLI effective date, withholding taxes (Canada and Kenya):</w:t>
      </w:r>
      <w:r w:rsidRPr="00143ADC">
        <w:rPr>
          <w:rFonts w:ascii="Calibri" w:hAnsi="Calibri" w:cs="Calibri"/>
        </w:rPr>
        <w:t xml:space="preserve"> January 1, 2026</w:t>
      </w:r>
    </w:p>
    <w:p w:rsidRPr="00143ADC" w:rsidR="00356FBE" w:rsidP="00356FBE" w:rsidRDefault="00356FBE" w14:paraId="0A931378" w14:textId="6AB58C3D">
      <w:pPr>
        <w:rPr>
          <w:rFonts w:ascii="Calibri" w:hAnsi="Calibri" w:cs="Calibri"/>
        </w:rPr>
      </w:pPr>
      <w:r w:rsidRPr="00143ADC">
        <w:rPr>
          <w:rFonts w:ascii="Calibri" w:hAnsi="Calibri" w:cs="Calibri"/>
          <w:b/>
          <w:bCs/>
        </w:rPr>
        <w:t>MLI effective date, all other taxes (Canada and Kenya):</w:t>
      </w:r>
      <w:r w:rsidRPr="00143ADC">
        <w:rPr>
          <w:rFonts w:ascii="Calibri" w:hAnsi="Calibri" w:cs="Calibri"/>
        </w:rPr>
        <w:t> November 1, 2025 </w:t>
      </w:r>
    </w:p>
    <w:p w:rsidRPr="00143ADC" w:rsidR="00D52B61" w:rsidP="000E6B0D" w:rsidRDefault="00D52B61" w14:paraId="22054719" w14:textId="77777777">
      <w:pPr>
        <w:rPr>
          <w:rFonts w:ascii="Calibri" w:hAnsi="Calibri" w:cs="Calibri"/>
          <w:b/>
          <w:bCs/>
        </w:rPr>
      </w:pPr>
    </w:p>
    <w:p w:rsidRPr="00143ADC" w:rsidR="00D52B61" w:rsidP="00D52B61" w:rsidRDefault="00D52B61" w14:paraId="24DB0873" w14:textId="77777777">
      <w:pPr>
        <w:pStyle w:val="paragraph"/>
        <w:shd w:val="clear" w:color="auto" w:fill="FFFFFF"/>
        <w:spacing w:before="0" w:beforeAutospacing="0" w:after="0" w:afterAutospacing="0"/>
        <w:textAlignment w:val="baseline"/>
        <w:rPr>
          <w:rFonts w:ascii="Calibri" w:hAnsi="Calibri" w:cs="Calibri"/>
          <w:sz w:val="22"/>
          <w:szCs w:val="22"/>
        </w:rPr>
      </w:pPr>
      <w:r w:rsidRPr="00143ADC">
        <w:rPr>
          <w:rStyle w:val="normaltextrun"/>
          <w:rFonts w:ascii="Calibri" w:hAnsi="Calibri" w:cs="Calibri" w:eastAsiaTheme="majorEastAsia"/>
          <w:b/>
          <w:bCs/>
          <w:sz w:val="22"/>
          <w:szCs w:val="22"/>
        </w:rPr>
        <w:t>Dual Resident Entities (MLI Article 4)</w:t>
      </w:r>
      <w:r w:rsidRPr="00143ADC">
        <w:rPr>
          <w:rStyle w:val="eop"/>
          <w:rFonts w:ascii="Calibri" w:hAnsi="Calibri" w:cs="Calibri" w:eastAsiaTheme="majorEastAsia"/>
          <w:sz w:val="22"/>
          <w:szCs w:val="22"/>
        </w:rPr>
        <w:t> </w:t>
      </w:r>
    </w:p>
    <w:p w:rsidRPr="00143ADC" w:rsidR="00D52B61" w:rsidP="00D52B61" w:rsidRDefault="00D52B61" w14:paraId="7F108BE7" w14:textId="77777777">
      <w:pPr>
        <w:pStyle w:val="paragraph"/>
        <w:shd w:val="clear" w:color="auto" w:fill="FFFFFF"/>
        <w:spacing w:before="0" w:beforeAutospacing="0" w:after="0" w:afterAutospacing="0"/>
        <w:textAlignment w:val="baseline"/>
        <w:rPr>
          <w:rStyle w:val="normaltextrun"/>
          <w:rFonts w:ascii="Calibri" w:hAnsi="Calibri" w:cs="Calibri" w:eastAsiaTheme="majorEastAsia"/>
          <w:i/>
          <w:iCs/>
          <w:color w:val="000000"/>
          <w:sz w:val="22"/>
          <w:szCs w:val="22"/>
        </w:rPr>
      </w:pPr>
    </w:p>
    <w:p w:rsidRPr="00143ADC" w:rsidR="00D52B61" w:rsidP="12BD0A77" w:rsidRDefault="00D52B61" w14:paraId="01DFDC6D" w14:textId="38835620">
      <w:pPr>
        <w:pStyle w:val="paragraph"/>
        <w:shd w:val="clear" w:color="auto" w:fill="FFFFFF" w:themeFill="background1"/>
        <w:spacing w:before="0" w:beforeAutospacing="off" w:after="0" w:afterAutospacing="off"/>
        <w:textAlignment w:val="baseline"/>
        <w:rPr>
          <w:rFonts w:ascii="Calibri" w:hAnsi="Calibri" w:cs="Calibri"/>
          <w:color w:val="auto"/>
          <w:sz w:val="22"/>
          <w:szCs w:val="22"/>
        </w:rPr>
      </w:pPr>
      <w:r w:rsidRPr="12BD0A77" w:rsidR="00D52B61">
        <w:rPr>
          <w:rStyle w:val="normaltextrun"/>
          <w:rFonts w:ascii="Calibri" w:hAnsi="Calibri" w:eastAsia="" w:cs="Calibri" w:eastAsiaTheme="majorEastAsia"/>
          <w:i w:val="1"/>
          <w:iCs w:val="1"/>
          <w:color w:val="auto"/>
          <w:sz w:val="22"/>
          <w:szCs w:val="22"/>
        </w:rPr>
        <w:t xml:space="preserve">[Note: The OECD MLI Matching Database has </w:t>
      </w:r>
      <w:r w:rsidRPr="12BD0A77" w:rsidR="00D52B61">
        <w:rPr>
          <w:rStyle w:val="normaltextrun"/>
          <w:rFonts w:ascii="Calibri" w:hAnsi="Calibri" w:eastAsia="" w:cs="Calibri" w:eastAsiaTheme="majorEastAsia"/>
          <w:i w:val="1"/>
          <w:iCs w:val="1"/>
          <w:color w:val="auto"/>
          <w:sz w:val="22"/>
          <w:szCs w:val="22"/>
        </w:rPr>
        <w:t>indicated</w:t>
      </w:r>
      <w:r w:rsidRPr="12BD0A77" w:rsidR="00D52B61">
        <w:rPr>
          <w:rStyle w:val="normaltextrun"/>
          <w:rFonts w:ascii="Calibri" w:hAnsi="Calibri" w:eastAsia="" w:cs="Calibri" w:eastAsiaTheme="majorEastAsia"/>
          <w:i w:val="1"/>
          <w:iCs w:val="1"/>
          <w:color w:val="auto"/>
          <w:sz w:val="22"/>
          <w:szCs w:val="22"/>
        </w:rPr>
        <w:t xml:space="preserve"> a </w:t>
      </w:r>
      <w:r w:rsidRPr="12BD0A77" w:rsidR="00D52B61">
        <w:rPr>
          <w:rStyle w:val="normaltextrun"/>
          <w:rFonts w:ascii="Calibri" w:hAnsi="Calibri" w:eastAsia="" w:cs="Calibri" w:eastAsiaTheme="majorEastAsia"/>
          <w:i w:val="1"/>
          <w:iCs w:val="1"/>
          <w:color w:val="auto"/>
          <w:sz w:val="22"/>
          <w:szCs w:val="22"/>
        </w:rPr>
        <w:t>possible notification</w:t>
      </w:r>
      <w:r w:rsidRPr="12BD0A77" w:rsidR="00D52B61">
        <w:rPr>
          <w:rStyle w:val="normaltextrun"/>
          <w:rFonts w:ascii="Calibri" w:hAnsi="Calibri" w:eastAsia="" w:cs="Calibri" w:eastAsiaTheme="majorEastAsia"/>
          <w:i w:val="1"/>
          <w:iCs w:val="1"/>
          <w:color w:val="auto"/>
          <w:sz w:val="22"/>
          <w:szCs w:val="22"/>
        </w:rPr>
        <w:t xml:space="preserve"> mismatch which requires confirmation that both </w:t>
      </w:r>
      <w:r w:rsidRPr="12BD0A77" w:rsidR="00D52B61">
        <w:rPr>
          <w:rStyle w:val="normaltextrun"/>
          <w:rFonts w:ascii="Calibri" w:hAnsi="Calibri" w:eastAsia="" w:cs="Calibri" w:eastAsiaTheme="majorEastAsia"/>
          <w:i w:val="1"/>
          <w:iCs w:val="1"/>
          <w:color w:val="auto"/>
          <w:sz w:val="22"/>
          <w:szCs w:val="22"/>
        </w:rPr>
        <w:t>Jurisdictions</w:t>
      </w:r>
      <w:r w:rsidRPr="12BD0A77" w:rsidR="00D52B61">
        <w:rPr>
          <w:rStyle w:val="normaltextrun"/>
          <w:rFonts w:ascii="Calibri" w:hAnsi="Calibri" w:eastAsia="" w:cs="Calibri" w:eastAsiaTheme="majorEastAsia"/>
          <w:i w:val="1"/>
          <w:iCs w:val="1"/>
          <w:color w:val="auto"/>
          <w:sz w:val="22"/>
          <w:szCs w:val="22"/>
        </w:rPr>
        <w:t xml:space="preserve"> have notified the same provision under MLI Art. 4(4). Canada has notified </w:t>
      </w:r>
      <w:r w:rsidRPr="12BD0A77" w:rsidR="00D52B61">
        <w:rPr>
          <w:rStyle w:val="normaltextrun"/>
          <w:rFonts w:ascii="Calibri" w:hAnsi="Calibri" w:eastAsia="" w:cs="Calibri" w:eastAsiaTheme="majorEastAsia"/>
          <w:i w:val="1"/>
          <w:iCs w:val="1"/>
          <w:color w:val="auto"/>
          <w:sz w:val="22"/>
          <w:szCs w:val="22"/>
        </w:rPr>
        <w:t>Article</w:t>
      </w:r>
      <w:r w:rsidRPr="12BD0A77" w:rsidR="7D6837C5">
        <w:rPr>
          <w:rStyle w:val="normaltextrun"/>
          <w:rFonts w:ascii="Calibri" w:hAnsi="Calibri" w:eastAsia="" w:cs="Calibri" w:eastAsiaTheme="majorEastAsia"/>
          <w:i w:val="1"/>
          <w:iCs w:val="1"/>
          <w:color w:val="auto"/>
          <w:sz w:val="22"/>
          <w:szCs w:val="22"/>
        </w:rPr>
        <w:t>s</w:t>
      </w:r>
      <w:r w:rsidRPr="12BD0A77" w:rsidR="00D52B61">
        <w:rPr>
          <w:rStyle w:val="normaltextrun"/>
          <w:rFonts w:ascii="Calibri" w:hAnsi="Calibri" w:eastAsia="" w:cs="Calibri" w:eastAsiaTheme="majorEastAsia"/>
          <w:i w:val="1"/>
          <w:iCs w:val="1"/>
          <w:color w:val="auto"/>
          <w:sz w:val="22"/>
          <w:szCs w:val="22"/>
        </w:rPr>
        <w:t xml:space="preserve"> </w:t>
      </w:r>
      <w:r w:rsidRPr="12BD0A77" w:rsidR="00993A57">
        <w:rPr>
          <w:rStyle w:val="normaltextrun"/>
          <w:rFonts w:ascii="Calibri" w:hAnsi="Calibri" w:eastAsia="" w:cs="Calibri" w:eastAsiaTheme="majorEastAsia"/>
          <w:i w:val="1"/>
          <w:iCs w:val="1"/>
          <w:color w:val="auto"/>
          <w:sz w:val="22"/>
          <w:szCs w:val="22"/>
        </w:rPr>
        <w:t>IV</w:t>
      </w:r>
      <w:r w:rsidRPr="12BD0A77" w:rsidR="00D52B61">
        <w:rPr>
          <w:rStyle w:val="normaltextrun"/>
          <w:rFonts w:ascii="Calibri" w:hAnsi="Calibri" w:eastAsia="" w:cs="Calibri" w:eastAsiaTheme="majorEastAsia"/>
          <w:i w:val="1"/>
          <w:iCs w:val="1"/>
          <w:color w:val="auto"/>
          <w:sz w:val="22"/>
          <w:szCs w:val="22"/>
        </w:rPr>
        <w:t>(</w:t>
      </w:r>
      <w:r w:rsidRPr="12BD0A77" w:rsidR="00D52B61">
        <w:rPr>
          <w:rStyle w:val="normaltextrun"/>
          <w:rFonts w:ascii="Calibri" w:hAnsi="Calibri" w:eastAsia="" w:cs="Calibri" w:eastAsiaTheme="majorEastAsia"/>
          <w:i w:val="1"/>
          <w:iCs w:val="1"/>
          <w:color w:val="auto"/>
          <w:sz w:val="22"/>
          <w:szCs w:val="22"/>
        </w:rPr>
        <w:t xml:space="preserve">3) and (4) and </w:t>
      </w:r>
      <w:r w:rsidRPr="12BD0A77" w:rsidR="00773765">
        <w:rPr>
          <w:rStyle w:val="normaltextrun"/>
          <w:rFonts w:ascii="Calibri" w:hAnsi="Calibri" w:eastAsia="" w:cs="Calibri" w:eastAsiaTheme="majorEastAsia"/>
          <w:i w:val="1"/>
          <w:iCs w:val="1"/>
          <w:color w:val="auto"/>
          <w:sz w:val="22"/>
          <w:szCs w:val="22"/>
        </w:rPr>
        <w:t>Kenya</w:t>
      </w:r>
      <w:r w:rsidRPr="12BD0A77" w:rsidR="00D52B61">
        <w:rPr>
          <w:rStyle w:val="normaltextrun"/>
          <w:rFonts w:ascii="Calibri" w:hAnsi="Calibri" w:eastAsia="" w:cs="Calibri" w:eastAsiaTheme="majorEastAsia"/>
          <w:i w:val="1"/>
          <w:iCs w:val="1"/>
          <w:color w:val="auto"/>
          <w:sz w:val="22"/>
          <w:szCs w:val="22"/>
        </w:rPr>
        <w:t xml:space="preserve"> has notified Article</w:t>
      </w:r>
      <w:r w:rsidRPr="12BD0A77" w:rsidR="43ACE0F0">
        <w:rPr>
          <w:rStyle w:val="normaltextrun"/>
          <w:rFonts w:ascii="Calibri" w:hAnsi="Calibri" w:eastAsia="" w:cs="Calibri" w:eastAsiaTheme="majorEastAsia"/>
          <w:i w:val="1"/>
          <w:iCs w:val="1"/>
          <w:color w:val="auto"/>
          <w:sz w:val="22"/>
          <w:szCs w:val="22"/>
        </w:rPr>
        <w:t>s</w:t>
      </w:r>
      <w:r w:rsidRPr="12BD0A77" w:rsidR="00D52B61">
        <w:rPr>
          <w:rStyle w:val="normaltextrun"/>
          <w:rFonts w:ascii="Calibri" w:hAnsi="Calibri" w:eastAsia="" w:cs="Calibri" w:eastAsiaTheme="majorEastAsia"/>
          <w:i w:val="1"/>
          <w:iCs w:val="1"/>
          <w:color w:val="auto"/>
          <w:sz w:val="22"/>
          <w:szCs w:val="22"/>
        </w:rPr>
        <w:t xml:space="preserve"> 4(3) and 4(4) of this </w:t>
      </w:r>
      <w:r w:rsidRPr="12BD0A77" w:rsidR="00FC43A4">
        <w:rPr>
          <w:rStyle w:val="normaltextrun"/>
          <w:rFonts w:ascii="Calibri" w:hAnsi="Calibri" w:eastAsia="" w:cs="Calibri" w:eastAsiaTheme="majorEastAsia"/>
          <w:i w:val="1"/>
          <w:iCs w:val="1"/>
          <w:color w:val="auto"/>
          <w:sz w:val="22"/>
          <w:szCs w:val="22"/>
        </w:rPr>
        <w:t>Agreement</w:t>
      </w:r>
      <w:r w:rsidRPr="12BD0A77" w:rsidR="00D52B61">
        <w:rPr>
          <w:rStyle w:val="normaltextrun"/>
          <w:rFonts w:ascii="Calibri" w:hAnsi="Calibri" w:eastAsia="" w:cs="Calibri" w:eastAsiaTheme="majorEastAsia"/>
          <w:i w:val="1"/>
          <w:iCs w:val="1"/>
          <w:color w:val="auto"/>
          <w:sz w:val="22"/>
          <w:szCs w:val="22"/>
        </w:rPr>
        <w:t>. The following discussion assumes there is no mismatch.</w:t>
      </w:r>
      <w:r w:rsidRPr="12BD0A77" w:rsidR="72C94798">
        <w:rPr>
          <w:rStyle w:val="normaltextrun"/>
          <w:rFonts w:ascii="Calibri" w:hAnsi="Calibri" w:eastAsia="Calibri" w:cs="Calibri"/>
          <w:b w:val="0"/>
          <w:bCs w:val="0"/>
          <w:i w:val="1"/>
          <w:iCs w:val="1"/>
          <w:caps w:val="0"/>
          <w:smallCaps w:val="0"/>
          <w:strike w:val="0"/>
          <w:dstrike w:val="0"/>
          <w:noProof w:val="0"/>
          <w:color w:val="auto"/>
          <w:sz w:val="22"/>
          <w:szCs w:val="22"/>
          <w:u w:val="none"/>
          <w:lang w:val="en-US"/>
        </w:rPr>
        <w:t xml:space="preserve"> i.e., that both </w:t>
      </w:r>
      <w:r w:rsidRPr="12BD0A77" w:rsidR="72C94798">
        <w:rPr>
          <w:rStyle w:val="normaltextrun"/>
          <w:rFonts w:ascii="Calibri" w:hAnsi="Calibri" w:eastAsia="Calibri" w:cs="Calibri"/>
          <w:b w:val="0"/>
          <w:bCs w:val="0"/>
          <w:i w:val="1"/>
          <w:iCs w:val="1"/>
          <w:caps w:val="0"/>
          <w:smallCaps w:val="0"/>
          <w:strike w:val="0"/>
          <w:dstrike w:val="0"/>
          <w:noProof w:val="0"/>
          <w:color w:val="auto"/>
          <w:sz w:val="22"/>
          <w:szCs w:val="22"/>
          <w:u w:val="none"/>
          <w:lang w:val="en-US"/>
        </w:rPr>
        <w:t>jurisdictions</w:t>
      </w:r>
      <w:r w:rsidRPr="12BD0A77" w:rsidR="72C94798">
        <w:rPr>
          <w:rStyle w:val="normaltextrun"/>
          <w:rFonts w:ascii="Calibri" w:hAnsi="Calibri" w:eastAsia="Calibri" w:cs="Calibri"/>
          <w:b w:val="0"/>
          <w:bCs w:val="0"/>
          <w:i w:val="1"/>
          <w:iCs w:val="1"/>
          <w:caps w:val="0"/>
          <w:smallCaps w:val="0"/>
          <w:strike w:val="0"/>
          <w:dstrike w:val="0"/>
          <w:noProof w:val="0"/>
          <w:color w:val="auto"/>
          <w:sz w:val="22"/>
          <w:szCs w:val="22"/>
          <w:u w:val="none"/>
          <w:lang w:val="en-US"/>
        </w:rPr>
        <w:t xml:space="preserve"> have notified the same provision under MLI Art. 4(4)</w:t>
      </w:r>
      <w:r w:rsidRPr="12BD0A77" w:rsidR="7E35F897">
        <w:rPr>
          <w:rStyle w:val="normaltextrun"/>
          <w:rFonts w:ascii="Calibri" w:hAnsi="Calibri" w:eastAsia="Calibri" w:cs="Calibri"/>
          <w:b w:val="0"/>
          <w:bCs w:val="0"/>
          <w:i w:val="1"/>
          <w:iCs w:val="1"/>
          <w:caps w:val="0"/>
          <w:smallCaps w:val="0"/>
          <w:strike w:val="0"/>
          <w:dstrike w:val="0"/>
          <w:noProof w:val="0"/>
          <w:color w:val="auto"/>
          <w:sz w:val="22"/>
          <w:szCs w:val="22"/>
          <w:u w:val="none"/>
          <w:lang w:val="en-US"/>
        </w:rPr>
        <w:t>.</w:t>
      </w:r>
      <w:r w:rsidRPr="12BD0A77" w:rsidR="72C94798">
        <w:rPr>
          <w:noProof w:val="0"/>
          <w:color w:val="auto"/>
          <w:lang w:val="en-US"/>
        </w:rPr>
        <w:t xml:space="preserve"> </w:t>
      </w:r>
      <w:r w:rsidRPr="12BD0A77" w:rsidR="00D52B61">
        <w:rPr>
          <w:rStyle w:val="normaltextrun"/>
          <w:rFonts w:ascii="Calibri" w:hAnsi="Calibri" w:eastAsia="" w:cs="Calibri" w:eastAsiaTheme="majorEastAsia"/>
          <w:i w:val="1"/>
          <w:iCs w:val="1"/>
          <w:color w:val="auto"/>
          <w:sz w:val="22"/>
          <w:szCs w:val="22"/>
        </w:rPr>
        <w:t xml:space="preserve"> If it is </w:t>
      </w:r>
      <w:r w:rsidRPr="12BD0A77" w:rsidR="00D52B61">
        <w:rPr>
          <w:rStyle w:val="normaltextrun"/>
          <w:rFonts w:ascii="Calibri" w:hAnsi="Calibri" w:eastAsia="" w:cs="Calibri" w:eastAsiaTheme="majorEastAsia"/>
          <w:i w:val="1"/>
          <w:iCs w:val="1"/>
          <w:color w:val="auto"/>
          <w:sz w:val="22"/>
          <w:szCs w:val="22"/>
        </w:rPr>
        <w:t>determined</w:t>
      </w:r>
      <w:r w:rsidRPr="12BD0A77" w:rsidR="00D52B61">
        <w:rPr>
          <w:rStyle w:val="normaltextrun"/>
          <w:rFonts w:ascii="Calibri" w:hAnsi="Calibri" w:eastAsia="" w:cs="Calibri" w:eastAsiaTheme="majorEastAsia"/>
          <w:i w:val="1"/>
          <w:iCs w:val="1"/>
          <w:color w:val="auto"/>
          <w:sz w:val="22"/>
          <w:szCs w:val="22"/>
        </w:rPr>
        <w:t xml:space="preserve"> that there is a mismatch, MLI Art. 4(1) would apply and supersede the provisions of this </w:t>
      </w:r>
      <w:r w:rsidRPr="12BD0A77" w:rsidR="00FC43A4">
        <w:rPr>
          <w:rStyle w:val="normaltextrun"/>
          <w:rFonts w:ascii="Calibri" w:hAnsi="Calibri" w:eastAsia="" w:cs="Calibri" w:eastAsiaTheme="majorEastAsia"/>
          <w:i w:val="1"/>
          <w:iCs w:val="1"/>
          <w:color w:val="auto"/>
          <w:sz w:val="22"/>
          <w:szCs w:val="22"/>
        </w:rPr>
        <w:t>Agreement</w:t>
      </w:r>
      <w:r w:rsidRPr="12BD0A77" w:rsidR="00D52B61">
        <w:rPr>
          <w:rStyle w:val="normaltextrun"/>
          <w:rFonts w:ascii="Calibri" w:hAnsi="Calibri" w:eastAsia="" w:cs="Calibri" w:eastAsiaTheme="majorEastAsia"/>
          <w:i w:val="1"/>
          <w:iCs w:val="1"/>
          <w:color w:val="auto"/>
          <w:sz w:val="22"/>
          <w:szCs w:val="22"/>
        </w:rPr>
        <w:t xml:space="preserve"> to the extent of incompatibility].</w:t>
      </w:r>
      <w:r w:rsidRPr="12BD0A77" w:rsidR="00D52B61">
        <w:rPr>
          <w:rStyle w:val="eop"/>
          <w:rFonts w:ascii="Calibri" w:hAnsi="Calibri" w:eastAsia="" w:cs="Calibri" w:eastAsiaTheme="majorEastAsia"/>
          <w:color w:val="auto"/>
          <w:sz w:val="22"/>
          <w:szCs w:val="22"/>
        </w:rPr>
        <w:t> </w:t>
      </w:r>
    </w:p>
    <w:p w:rsidRPr="00143ADC" w:rsidR="00D52B61" w:rsidP="12BD0A77" w:rsidRDefault="00D52B61" w14:paraId="3BEB35DB" w14:textId="77777777">
      <w:pPr>
        <w:pStyle w:val="paragraph"/>
        <w:shd w:val="clear" w:color="auto" w:fill="FFFFFF" w:themeFill="background1"/>
        <w:spacing w:before="0" w:beforeAutospacing="off" w:after="0" w:afterAutospacing="off"/>
        <w:textAlignment w:val="baseline"/>
        <w:rPr>
          <w:rStyle w:val="normaltextrun"/>
          <w:rFonts w:ascii="Calibri" w:hAnsi="Calibri" w:eastAsia="" w:cs="Calibri" w:eastAsiaTheme="majorEastAsia"/>
          <w:color w:val="auto"/>
          <w:sz w:val="22"/>
          <w:szCs w:val="22"/>
        </w:rPr>
      </w:pPr>
    </w:p>
    <w:p w:rsidRPr="00143ADC" w:rsidR="00D52B61" w:rsidP="1F273A40" w:rsidRDefault="00D52B61" w14:paraId="0418015E" w14:textId="276A68F2">
      <w:pPr>
        <w:pStyle w:val="paragraph"/>
        <w:shd w:val="clear" w:color="auto" w:fill="FFFFFF" w:themeFill="background1"/>
        <w:spacing w:before="0" w:beforeAutospacing="off" w:after="0" w:afterAutospacing="off"/>
        <w:textAlignment w:val="baseline"/>
        <w:rPr>
          <w:rFonts w:ascii="Calibri" w:hAnsi="Calibri" w:cs="Calibri"/>
          <w:sz w:val="22"/>
          <w:szCs w:val="22"/>
        </w:rPr>
      </w:pPr>
      <w:r w:rsidRPr="12BD0A77" w:rsidR="00D52B61">
        <w:rPr>
          <w:rStyle w:val="normaltextrun"/>
          <w:rFonts w:ascii="Calibri" w:hAnsi="Calibri" w:eastAsia="" w:cs="Calibri" w:eastAsiaTheme="majorEastAsia"/>
          <w:sz w:val="22"/>
          <w:szCs w:val="22"/>
        </w:rPr>
        <w:t>According to MLI Art. 4(2), the provision on dual resident entities in MLI Art. 4(1) replaces Art</w:t>
      </w:r>
      <w:r w:rsidRPr="12BD0A77" w:rsidR="37BB1780">
        <w:rPr>
          <w:rStyle w:val="normaltextrun"/>
          <w:rFonts w:ascii="Calibri" w:hAnsi="Calibri" w:eastAsia="" w:cs="Calibri" w:eastAsiaTheme="majorEastAsia"/>
          <w:sz w:val="22"/>
          <w:szCs w:val="22"/>
        </w:rPr>
        <w:t>s</w:t>
      </w:r>
      <w:r w:rsidRPr="12BD0A77" w:rsidR="00D52B61">
        <w:rPr>
          <w:rStyle w:val="normaltextrun"/>
          <w:rFonts w:ascii="Calibri" w:hAnsi="Calibri" w:eastAsia="" w:cs="Calibri" w:eastAsiaTheme="majorEastAsia"/>
          <w:sz w:val="22"/>
          <w:szCs w:val="22"/>
        </w:rPr>
        <w:t xml:space="preserve">. 4(3) and </w:t>
      </w:r>
      <w:r w:rsidRPr="12BD0A77" w:rsidR="2698F1EE">
        <w:rPr>
          <w:rStyle w:val="normaltextrun"/>
          <w:rFonts w:ascii="Calibri" w:hAnsi="Calibri" w:eastAsia="" w:cs="Calibri" w:eastAsiaTheme="majorEastAsia"/>
          <w:sz w:val="22"/>
          <w:szCs w:val="22"/>
        </w:rPr>
        <w:t>4</w:t>
      </w:r>
      <w:r w:rsidRPr="12BD0A77" w:rsidR="00D52B61">
        <w:rPr>
          <w:rStyle w:val="normaltextrun"/>
          <w:rFonts w:ascii="Calibri" w:hAnsi="Calibri" w:eastAsia="" w:cs="Calibri" w:eastAsiaTheme="majorEastAsia"/>
          <w:sz w:val="22"/>
          <w:szCs w:val="22"/>
        </w:rPr>
        <w:t xml:space="preserve">(4) of this </w:t>
      </w:r>
      <w:r w:rsidRPr="12BD0A77" w:rsidR="00FC43A4">
        <w:rPr>
          <w:rStyle w:val="normaltextrun"/>
          <w:rFonts w:ascii="Calibri" w:hAnsi="Calibri" w:eastAsia="" w:cs="Calibri" w:eastAsiaTheme="majorEastAsia"/>
          <w:sz w:val="22"/>
          <w:szCs w:val="22"/>
        </w:rPr>
        <w:t>Agreement</w:t>
      </w:r>
      <w:r w:rsidRPr="12BD0A77" w:rsidR="00D52B61">
        <w:rPr>
          <w:rStyle w:val="normaltextrun"/>
          <w:rFonts w:ascii="Calibri" w:hAnsi="Calibri" w:eastAsia="" w:cs="Calibri" w:eastAsiaTheme="majorEastAsia"/>
          <w:sz w:val="22"/>
          <w:szCs w:val="22"/>
        </w:rPr>
        <w:t>.</w:t>
      </w:r>
      <w:r w:rsidRPr="12BD0A77" w:rsidR="00D52B61">
        <w:rPr>
          <w:rStyle w:val="eop"/>
          <w:rFonts w:ascii="Calibri" w:hAnsi="Calibri" w:eastAsia="" w:cs="Calibri" w:eastAsiaTheme="majorEastAsia"/>
          <w:sz w:val="22"/>
          <w:szCs w:val="22"/>
        </w:rPr>
        <w:t> </w:t>
      </w:r>
    </w:p>
    <w:p w:rsidRPr="00143ADC" w:rsidR="00D52B61" w:rsidP="000E6B0D" w:rsidRDefault="00D52B61" w14:paraId="78B684AA" w14:textId="77777777">
      <w:pPr>
        <w:rPr>
          <w:rFonts w:ascii="Calibri" w:hAnsi="Calibri" w:cs="Calibri"/>
          <w:b/>
          <w:bCs/>
        </w:rPr>
      </w:pPr>
    </w:p>
    <w:p w:rsidRPr="00143ADC" w:rsidR="000E6B0D" w:rsidP="000E6B0D" w:rsidRDefault="000E6B0D" w14:paraId="2AAC2417" w14:textId="2BECD9E6">
      <w:pPr>
        <w:rPr>
          <w:rFonts w:ascii="Calibri" w:hAnsi="Calibri" w:cs="Calibri"/>
        </w:rPr>
      </w:pPr>
      <w:r w:rsidRPr="00143ADC">
        <w:rPr>
          <w:rFonts w:ascii="Calibri" w:hAnsi="Calibri" w:cs="Calibri"/>
          <w:b/>
          <w:bCs/>
        </w:rPr>
        <w:t>Purpose of a Covered Tax Agreement (MLI Article 6)</w:t>
      </w:r>
      <w:r w:rsidRPr="00143ADC">
        <w:rPr>
          <w:rFonts w:ascii="Calibri" w:hAnsi="Calibri" w:cs="Calibri"/>
        </w:rPr>
        <w:t> </w:t>
      </w:r>
    </w:p>
    <w:p w:rsidRPr="00143ADC" w:rsidR="000E6B0D" w:rsidP="000E6B0D" w:rsidRDefault="000E6B0D" w14:paraId="28F13F87" w14:textId="09202C06">
      <w:pPr>
        <w:rPr>
          <w:rFonts w:ascii="Calibri" w:hAnsi="Calibri" w:cs="Calibri"/>
        </w:rPr>
      </w:pPr>
      <w:r w:rsidRPr="00143ADC">
        <w:rPr>
          <w:rFonts w:ascii="Calibri" w:hAnsi="Calibri" w:cs="Calibri"/>
        </w:rPr>
        <w:t>According to MLI Art. 6(2), to meet the minimum standard, the text of MLI Art. 6(1), indicating the intent to eliminate double taxation without creating opportunities for non-taxation or reduced taxation through tax evasion or avoidance, including through treaty shopping arrangements, is added to the</w:t>
      </w:r>
      <w:r w:rsidR="003868DC">
        <w:rPr>
          <w:rFonts w:ascii="Calibri" w:hAnsi="Calibri" w:cs="Calibri"/>
        </w:rPr>
        <w:t xml:space="preserve"> </w:t>
      </w:r>
      <w:r w:rsidR="007968C0">
        <w:rPr>
          <w:rFonts w:ascii="Calibri" w:hAnsi="Calibri" w:cs="Calibri"/>
        </w:rPr>
        <w:t xml:space="preserve">existing </w:t>
      </w:r>
      <w:r w:rsidRPr="00143ADC" w:rsidR="007968C0">
        <w:rPr>
          <w:rFonts w:ascii="Calibri" w:hAnsi="Calibri" w:cs="Calibri"/>
        </w:rPr>
        <w:t>preamble</w:t>
      </w:r>
      <w:r w:rsidRPr="00143ADC">
        <w:rPr>
          <w:rFonts w:ascii="Calibri" w:hAnsi="Calibri" w:cs="Calibri"/>
        </w:rPr>
        <w:t xml:space="preserve"> of this Agreement. The optional preamble language of MLI Art. 6(3) does not apply. </w:t>
      </w:r>
    </w:p>
    <w:p w:rsidRPr="00143ADC" w:rsidR="000E6B0D" w:rsidP="000E6B0D" w:rsidRDefault="000E6B0D" w14:paraId="4A1EE839" w14:textId="77777777">
      <w:pPr>
        <w:rPr>
          <w:rFonts w:ascii="Calibri" w:hAnsi="Calibri" w:cs="Calibri"/>
        </w:rPr>
      </w:pPr>
      <w:r w:rsidRPr="00143ADC">
        <w:rPr>
          <w:rFonts w:ascii="Calibri" w:hAnsi="Calibri" w:cs="Calibri"/>
          <w:b/>
          <w:bCs/>
        </w:rPr>
        <w:t>Prevention of Treaty Abuse (MLI Article 7)</w:t>
      </w:r>
      <w:r w:rsidRPr="00143ADC">
        <w:rPr>
          <w:rFonts w:ascii="Calibri" w:hAnsi="Calibri" w:cs="Calibri"/>
        </w:rPr>
        <w:t> </w:t>
      </w:r>
    </w:p>
    <w:p w:rsidRPr="00143ADC" w:rsidR="000E6B0D" w:rsidP="000E6B0D" w:rsidRDefault="000E6B0D" w14:paraId="1EBFA5CE" w14:textId="1304A56D">
      <w:pPr>
        <w:rPr>
          <w:rFonts w:ascii="Calibri" w:hAnsi="Calibri" w:cs="Calibri"/>
        </w:rPr>
      </w:pPr>
      <w:r w:rsidRPr="12BD0A77" w:rsidR="000E6B0D">
        <w:rPr>
          <w:rFonts w:ascii="Calibri" w:hAnsi="Calibri" w:cs="Calibri"/>
        </w:rPr>
        <w:t>According to MLI Art. 7(2), the Principal Purpose Test (PPT) provision of MLI Art. 7(1), that denies benefits that would otherwise be provided where the principal purpose or one of the principal purposes of any arrangement or transaction was to obtain those benefits, applies and supersedes the provisions of this Agreement to the extent of incompatibility (i.e. the PPT provision is added to this Agreement) to meet the minimum standard.</w:t>
      </w:r>
      <w:r w:rsidRPr="12BD0A77" w:rsidR="000E6B0D">
        <w:rPr>
          <w:rFonts w:ascii="Calibri" w:hAnsi="Calibri" w:cs="Calibri"/>
        </w:rPr>
        <w:t xml:space="preserve"> Canada has expressed acceptance of the PPT as an interim measure, with the intention where possible to adopt a Limitation on Benefits (LOB) provision, in addition to or in replacement of the PPT, through bilateral negotiation. The optional </w:t>
      </w:r>
      <w:r w:rsidRPr="12BD0A77" w:rsidR="000E6B0D">
        <w:rPr>
          <w:rFonts w:ascii="Calibri" w:hAnsi="Calibri" w:cs="Calibri"/>
        </w:rPr>
        <w:t>additional</w:t>
      </w:r>
      <w:r w:rsidRPr="12BD0A77" w:rsidR="000E6B0D">
        <w:rPr>
          <w:rFonts w:ascii="Calibri" w:hAnsi="Calibri" w:cs="Calibri"/>
        </w:rPr>
        <w:t xml:space="preserve"> language of MLI Art. 7(4) does not apply. The Simplified Limitation on Benefits Provision (S-LOB) does not apply. </w:t>
      </w:r>
    </w:p>
    <w:p w:rsidR="003868DC" w:rsidP="00D52B61" w:rsidRDefault="003868DC" w14:paraId="33ECBF94" w14:textId="77777777">
      <w:pPr>
        <w:rPr>
          <w:rFonts w:ascii="Calibri" w:hAnsi="Calibri" w:cs="Calibri"/>
          <w:b/>
          <w:bCs/>
        </w:rPr>
      </w:pPr>
    </w:p>
    <w:p w:rsidRPr="00143ADC" w:rsidR="00D52B61" w:rsidP="00D52B61" w:rsidRDefault="00D52B61" w14:paraId="4091B485" w14:textId="1873F78E">
      <w:pPr>
        <w:rPr>
          <w:rFonts w:ascii="Calibri" w:hAnsi="Calibri" w:cs="Calibri"/>
        </w:rPr>
      </w:pPr>
      <w:r w:rsidRPr="00143ADC">
        <w:rPr>
          <w:rFonts w:ascii="Calibri" w:hAnsi="Calibri" w:cs="Calibri"/>
          <w:b/>
          <w:bCs/>
        </w:rPr>
        <w:lastRenderedPageBreak/>
        <w:t>Dividend Transfer Transactions (MLI Article 8)</w:t>
      </w:r>
      <w:r w:rsidRPr="00143ADC">
        <w:rPr>
          <w:rFonts w:ascii="Calibri" w:hAnsi="Calibri" w:cs="Calibri"/>
        </w:rPr>
        <w:t> </w:t>
      </w:r>
    </w:p>
    <w:p w:rsidRPr="00143ADC" w:rsidR="00463823" w:rsidP="12BD0A77" w:rsidRDefault="00143ADC" w14:paraId="1292FB92" w14:textId="25C696D2">
      <w:pPr>
        <w:rPr>
          <w:rFonts w:ascii="Calibri" w:hAnsi="Calibri" w:cs="Calibri"/>
          <w:i w:val="1"/>
          <w:iCs w:val="1"/>
        </w:rPr>
      </w:pPr>
      <w:r w:rsidRPr="12BD0A77" w:rsidR="00143ADC">
        <w:rPr>
          <w:rFonts w:ascii="Calibri" w:hAnsi="Calibri" w:cs="Calibri"/>
          <w:i w:val="1"/>
          <w:iCs w:val="1"/>
          <w:color w:val="242424"/>
          <w:shd w:val="clear" w:color="auto" w:fill="FFFFFF"/>
        </w:rPr>
        <w:t xml:space="preserve">[Note: The OECD MLI Matching Database has </w:t>
      </w:r>
      <w:r w:rsidRPr="12BD0A77" w:rsidR="00143ADC">
        <w:rPr>
          <w:rFonts w:ascii="Calibri" w:hAnsi="Calibri" w:cs="Calibri"/>
          <w:i w:val="1"/>
          <w:iCs w:val="1"/>
          <w:color w:val="242424"/>
          <w:shd w:val="clear" w:color="auto" w:fill="FFFFFF"/>
        </w:rPr>
        <w:t xml:space="preserve">indicated</w:t>
      </w:r>
      <w:r w:rsidRPr="12BD0A77" w:rsidR="00143ADC">
        <w:rPr>
          <w:rFonts w:ascii="Calibri" w:hAnsi="Calibri" w:cs="Calibri"/>
          <w:i w:val="1"/>
          <w:iCs w:val="1"/>
          <w:color w:val="242424"/>
          <w:shd w:val="clear" w:color="auto" w:fill="FFFFFF"/>
        </w:rPr>
        <w:t xml:space="preserve"> a </w:t>
      </w:r>
      <w:r w:rsidRPr="12BD0A77" w:rsidR="00143ADC">
        <w:rPr>
          <w:rFonts w:ascii="Calibri" w:hAnsi="Calibri" w:cs="Calibri"/>
          <w:i w:val="1"/>
          <w:iCs w:val="1"/>
          <w:color w:val="242424"/>
          <w:shd w:val="clear" w:color="auto" w:fill="FFFFFF"/>
        </w:rPr>
        <w:t xml:space="preserve">possible notification</w:t>
      </w:r>
      <w:r w:rsidRPr="12BD0A77" w:rsidR="00143ADC">
        <w:rPr>
          <w:rFonts w:ascii="Calibri" w:hAnsi="Calibri" w:cs="Calibri"/>
          <w:i w:val="1"/>
          <w:iCs w:val="1"/>
          <w:color w:val="242424"/>
          <w:shd w:val="clear" w:color="auto" w:fill="FFFFFF"/>
        </w:rPr>
        <w:t xml:space="preserve"> mismatch which requires confirmation that both </w:t>
      </w:r>
      <w:r w:rsidRPr="12BD0A77" w:rsidR="00143ADC">
        <w:rPr>
          <w:rFonts w:ascii="Calibri" w:hAnsi="Calibri" w:cs="Calibri"/>
          <w:i w:val="1"/>
          <w:iCs w:val="1"/>
          <w:color w:val="242424"/>
          <w:shd w:val="clear" w:color="auto" w:fill="FFFFFF"/>
        </w:rPr>
        <w:t xml:space="preserve">Jurisdictions</w:t>
      </w:r>
      <w:r w:rsidRPr="12BD0A77" w:rsidR="00143ADC">
        <w:rPr>
          <w:rFonts w:ascii="Calibri" w:hAnsi="Calibri" w:cs="Calibri"/>
          <w:i w:val="1"/>
          <w:iCs w:val="1"/>
          <w:color w:val="242424"/>
          <w:shd w:val="clear" w:color="auto" w:fill="FFFFFF"/>
        </w:rPr>
        <w:t xml:space="preserve"> have notified the same provision under MLI Art. 8(4). I</w:t>
      </w:r>
      <w:r w:rsidRPr="12BD0A77" w:rsidR="13D5B3A7">
        <w:rPr>
          <w:rStyle w:val="normaltextrun"/>
          <w:rFonts w:ascii="Calibri" w:hAnsi="Calibri" w:eastAsia="" w:cs="Calibri" w:eastAsiaTheme="majorEastAsia"/>
          <w:i w:val="1"/>
          <w:iCs w:val="1"/>
          <w:color w:val="000000" w:themeColor="text1" w:themeTint="FF" w:themeShade="FF"/>
          <w:sz w:val="22"/>
          <w:szCs w:val="22"/>
        </w:rPr>
        <w:t xml:space="preserve"> C</w:t>
      </w:r>
      <w:r w:rsidRPr="12BD0A77" w:rsidR="13D5B3A7">
        <w:rPr>
          <w:rStyle w:val="normaltextrun"/>
          <w:rFonts w:ascii="Calibri" w:hAnsi="Calibri" w:eastAsia="" w:cs="Calibri" w:eastAsiaTheme="majorEastAsia"/>
          <w:i w:val="1"/>
          <w:iCs w:val="1"/>
          <w:color w:val="000000" w:themeColor="text1" w:themeTint="FF" w:themeShade="FF"/>
          <w:sz w:val="22"/>
          <w:szCs w:val="22"/>
        </w:rPr>
        <w:t xml:space="preserve">anada has notified </w:t>
      </w:r>
      <w:r w:rsidRPr="12BD0A77" w:rsidR="13D5B3A7">
        <w:rPr>
          <w:rStyle w:val="normaltextrun"/>
          <w:rFonts w:ascii="Calibri" w:hAnsi="Calibri" w:eastAsia="" w:cs="Calibri" w:eastAsiaTheme="majorEastAsia"/>
          <w:i w:val="1"/>
          <w:iCs w:val="1"/>
          <w:color w:val="000000" w:themeColor="text1" w:themeTint="FF" w:themeShade="FF"/>
          <w:sz w:val="22"/>
          <w:szCs w:val="22"/>
        </w:rPr>
        <w:t>Article</w:t>
      </w:r>
      <w:r w:rsidRPr="12BD0A77" w:rsidR="13D5B3A7">
        <w:rPr>
          <w:rStyle w:val="normaltextrun"/>
          <w:rFonts w:ascii="Calibri" w:hAnsi="Calibri" w:eastAsia="" w:cs="Calibri" w:eastAsiaTheme="majorEastAsia"/>
          <w:i w:val="1"/>
          <w:iCs w:val="1"/>
          <w:color w:val="000000" w:themeColor="text1" w:themeTint="FF" w:themeShade="FF"/>
          <w:sz w:val="22"/>
          <w:szCs w:val="22"/>
        </w:rPr>
        <w:t xml:space="preserve"> X</w:t>
      </w:r>
      <w:r w:rsidRPr="12BD0A77" w:rsidR="13D5B3A7">
        <w:rPr>
          <w:rStyle w:val="normaltextrun"/>
          <w:rFonts w:ascii="Calibri" w:hAnsi="Calibri" w:eastAsia="" w:cs="Calibri" w:eastAsiaTheme="majorEastAsia"/>
          <w:i w:val="1"/>
          <w:iCs w:val="1"/>
          <w:color w:val="000000" w:themeColor="text1" w:themeTint="FF" w:themeShade="FF"/>
          <w:sz w:val="22"/>
          <w:szCs w:val="22"/>
        </w:rPr>
        <w:t>(2)(a</w:t>
      </w:r>
      <w:r w:rsidRPr="12BD0A77" w:rsidR="13D5B3A7">
        <w:rPr>
          <w:rStyle w:val="normaltextrun"/>
          <w:rFonts w:ascii="Calibri" w:hAnsi="Calibri" w:eastAsia="" w:cs="Calibri" w:eastAsiaTheme="majorEastAsia"/>
          <w:i w:val="1"/>
          <w:iCs w:val="1"/>
          <w:color w:val="000000" w:themeColor="text1" w:themeTint="FF" w:themeShade="FF"/>
          <w:sz w:val="22"/>
          <w:szCs w:val="22"/>
        </w:rPr>
        <w:t>)</w:t>
      </w:r>
      <w:r w:rsidRPr="12BD0A77" w:rsidR="13D5B3A7">
        <w:rPr>
          <w:rStyle w:val="normaltextrun"/>
          <w:rFonts w:ascii="Calibri" w:hAnsi="Calibri" w:eastAsia="" w:cs="Calibri" w:eastAsiaTheme="majorEastAsia"/>
          <w:i w:val="1"/>
          <w:iCs w:val="1"/>
          <w:color w:val="000000" w:themeColor="text1" w:themeTint="FF" w:themeShade="FF"/>
          <w:sz w:val="22"/>
          <w:szCs w:val="22"/>
        </w:rPr>
        <w:t xml:space="preserve"> </w:t>
      </w:r>
      <w:r w:rsidRPr="12BD0A77" w:rsidR="13D5B3A7">
        <w:rPr>
          <w:rStyle w:val="normaltextrun"/>
          <w:rFonts w:ascii="Calibri" w:hAnsi="Calibri" w:eastAsia="" w:cs="Calibri" w:eastAsiaTheme="majorEastAsia"/>
          <w:i w:val="1"/>
          <w:iCs w:val="1"/>
          <w:color w:val="000000" w:themeColor="text1" w:themeTint="FF" w:themeShade="FF"/>
          <w:sz w:val="22"/>
          <w:szCs w:val="22"/>
        </w:rPr>
        <w:t>and Kenya has notified Article 10(2)(a) of this Agreement.</w:t>
      </w:r>
      <w:r w:rsidRPr="12BD0A77" w:rsidR="00143ADC">
        <w:rPr>
          <w:rFonts w:ascii="Calibri" w:hAnsi="Calibri" w:cs="Calibri"/>
          <w:i w:val="1"/>
          <w:iCs w:val="1"/>
          <w:color w:val="242424"/>
          <w:shd w:val="clear" w:color="auto" w:fill="FFFFFF"/>
        </w:rPr>
        <w:t xml:space="preserve"> </w:t>
      </w:r>
      <w:r w:rsidRPr="12BD0A77" w:rsidR="00143ADC">
        <w:rPr>
          <w:rFonts w:ascii="Calibri" w:hAnsi="Calibri" w:cs="Calibri"/>
          <w:i w:val="1"/>
          <w:iCs w:val="1"/>
          <w:color w:val="242424"/>
          <w:shd w:val="clear" w:color="auto" w:fill="FFFFFF"/>
        </w:rPr>
        <w:t xml:space="preserve">The following discussion assumes there is no mismatch, i.e., that both </w:t>
      </w:r>
      <w:r w:rsidRPr="12BD0A77" w:rsidR="00143ADC">
        <w:rPr>
          <w:rFonts w:ascii="Calibri" w:hAnsi="Calibri" w:cs="Calibri"/>
          <w:i w:val="1"/>
          <w:iCs w:val="1"/>
          <w:color w:val="242424"/>
          <w:shd w:val="clear" w:color="auto" w:fill="FFFFFF"/>
        </w:rPr>
        <w:t>Jurisdiction</w:t>
      </w:r>
      <w:r w:rsidRPr="12BD0A77" w:rsidR="00143ADC">
        <w:rPr>
          <w:rFonts w:ascii="Calibri" w:hAnsi="Calibri" w:cs="Calibri"/>
          <w:i w:val="1"/>
          <w:iCs w:val="1"/>
          <w:color w:val="242424"/>
          <w:shd w:val="clear" w:color="auto" w:fill="FFFFFF"/>
        </w:rPr>
        <w:t>s</w:t>
      </w:r>
      <w:r w:rsidRPr="12BD0A77" w:rsidR="00143ADC">
        <w:rPr>
          <w:rFonts w:ascii="Calibri" w:hAnsi="Calibri" w:cs="Calibri"/>
          <w:i w:val="1"/>
          <w:iCs w:val="1"/>
          <w:color w:val="242424"/>
          <w:shd w:val="clear" w:color="auto" w:fill="FFFFFF"/>
        </w:rPr>
        <w:t xml:space="preserve"> have notifi</w:t>
      </w:r>
      <w:r w:rsidRPr="12BD0A77" w:rsidR="00143ADC">
        <w:rPr>
          <w:rFonts w:ascii="Calibri" w:hAnsi="Calibri" w:cs="Calibri"/>
          <w:i w:val="1"/>
          <w:iCs w:val="1"/>
          <w:color w:val="242424"/>
          <w:shd w:val="clear" w:color="auto" w:fill="FFFFFF"/>
        </w:rPr>
        <w:t xml:space="preserve">ed the same provision</w:t>
      </w:r>
      <w:r w:rsidRPr="12BD0A77" w:rsidR="189B6D54">
        <w:rPr>
          <w:rFonts w:ascii="Calibri" w:hAnsi="Calibri" w:cs="Calibri"/>
          <w:i w:val="1"/>
          <w:iCs w:val="1"/>
          <w:color w:val="242424"/>
          <w:shd w:val="clear" w:color="auto" w:fill="FFFFFF"/>
        </w:rPr>
        <w:t xml:space="preserve"> under MLI Art. 8(4)</w:t>
      </w:r>
      <w:r w:rsidRPr="12BD0A77" w:rsidR="00143ADC">
        <w:rPr>
          <w:rFonts w:ascii="Calibri" w:hAnsi="Calibri" w:cs="Calibri"/>
          <w:i w:val="1"/>
          <w:iCs w:val="1"/>
          <w:color w:val="242424"/>
          <w:shd w:val="clear" w:color="auto" w:fill="FFFFFF"/>
        </w:rPr>
        <w:t xml:space="preserve">. If it is </w:t>
      </w:r>
      <w:r w:rsidRPr="12BD0A77" w:rsidR="00143ADC">
        <w:rPr>
          <w:rFonts w:ascii="Calibri" w:hAnsi="Calibri" w:cs="Calibri"/>
          <w:i w:val="1"/>
          <w:iCs w:val="1"/>
          <w:color w:val="242424"/>
          <w:shd w:val="clear" w:color="auto" w:fill="FFFFFF"/>
        </w:rPr>
        <w:t>determined</w:t>
      </w:r>
      <w:r w:rsidRPr="12BD0A77" w:rsidR="00143ADC">
        <w:rPr>
          <w:rFonts w:ascii="Calibri" w:hAnsi="Calibri" w:cs="Calibri"/>
          <w:i w:val="1"/>
          <w:iCs w:val="1"/>
          <w:color w:val="242424"/>
          <w:shd w:val="clear" w:color="auto" w:fill="FFFFFF"/>
        </w:rPr>
        <w:t xml:space="preserve"> t</w:t>
      </w:r>
      <w:r w:rsidRPr="12BD0A77" w:rsidR="00143ADC">
        <w:rPr>
          <w:rFonts w:ascii="Calibri" w:hAnsi="Calibri" w:cs="Calibri"/>
          <w:i w:val="1"/>
          <w:iCs w:val="1"/>
          <w:color w:val="242424"/>
          <w:shd w:val="clear" w:color="auto" w:fill="FFFFFF"/>
        </w:rPr>
        <w:t xml:space="preserve">hat there </w:t>
      </w:r>
      <w:r w:rsidRPr="12BD0A77" w:rsidR="00143ADC">
        <w:rPr>
          <w:rFonts w:ascii="Calibri" w:hAnsi="Calibri" w:cs="Calibri"/>
          <w:i w:val="1"/>
          <w:iCs w:val="1"/>
          <w:color w:val="242424"/>
          <w:shd w:val="clear" w:color="auto" w:fill="FFFFFF"/>
        </w:rPr>
        <w:t>is a mismatch, then MLI Art. 8(1) does not apply.]</w:t>
      </w:r>
    </w:p>
    <w:p w:rsidRPr="00143ADC" w:rsidR="00D52B61" w:rsidP="00D52B61" w:rsidRDefault="00D52B61" w14:paraId="30C72710" w14:textId="5A2139C8">
      <w:pPr>
        <w:rPr>
          <w:rFonts w:ascii="Calibri" w:hAnsi="Calibri" w:cs="Calibri"/>
        </w:rPr>
      </w:pPr>
      <w:r w:rsidRPr="00143ADC">
        <w:rPr>
          <w:rFonts w:ascii="Calibri" w:hAnsi="Calibri" w:cs="Calibri"/>
        </w:rPr>
        <w:t>According to MLI Art. 8(4), MLI Art. 8(1) applies to Art. 10(2)(a) of this Agreement, changing the application of the article without replacing it. </w:t>
      </w:r>
    </w:p>
    <w:p w:rsidRPr="00143ADC" w:rsidR="00D52B61" w:rsidP="00D52B61" w:rsidRDefault="00D52B61" w14:paraId="633254FF" w14:textId="77777777">
      <w:pPr>
        <w:rPr>
          <w:rFonts w:ascii="Calibri" w:hAnsi="Calibri" w:cs="Calibri"/>
        </w:rPr>
      </w:pPr>
      <w:r w:rsidRPr="12BD0A77" w:rsidR="00D52B61">
        <w:rPr>
          <w:rFonts w:ascii="Calibri" w:hAnsi="Calibri" w:cs="Calibri"/>
          <w:b w:val="1"/>
          <w:bCs w:val="1"/>
        </w:rPr>
        <w:t>Capital Gains from Alienation of Shares or Interests of Entities Deriving their Value Principally from Immovable Property (MLI Article 9)</w:t>
      </w:r>
      <w:r w:rsidRPr="12BD0A77" w:rsidR="00D52B61">
        <w:rPr>
          <w:rFonts w:ascii="Calibri" w:hAnsi="Calibri" w:cs="Calibri"/>
        </w:rPr>
        <w:t> </w:t>
      </w:r>
    </w:p>
    <w:p w:rsidRPr="00143ADC" w:rsidR="00D52B61" w:rsidP="00D52B61" w:rsidRDefault="00D52B61" w14:paraId="1CF39FB8" w14:textId="11A0890E">
      <w:pPr>
        <w:rPr>
          <w:rFonts w:ascii="Calibri" w:hAnsi="Calibri" w:cs="Calibri"/>
        </w:rPr>
      </w:pPr>
      <w:r w:rsidRPr="12BD0A77" w:rsidR="67589058">
        <w:rPr>
          <w:rFonts w:ascii="Calibri" w:hAnsi="Calibri" w:eastAsia="Calibri" w:cs="Calibri"/>
          <w:noProof w:val="0"/>
          <w:sz w:val="22"/>
          <w:szCs w:val="22"/>
          <w:lang w:val="en-US"/>
        </w:rPr>
        <w:t xml:space="preserve"> According to MLI Art. 9(8), the optional provision of MLI Art. 9(4) that allows gains derived by a resident of one jurisdiction from the alienation of shares or comparable interests deriving more than 50% of their value from immovable property in the other jurisdiction at any time during a </w:t>
      </w:r>
      <w:r w:rsidRPr="12BD0A77" w:rsidR="67589058">
        <w:rPr>
          <w:rFonts w:ascii="Calibri" w:hAnsi="Calibri" w:eastAsia="Calibri" w:cs="Calibri"/>
          <w:noProof w:val="0"/>
          <w:sz w:val="22"/>
          <w:szCs w:val="22"/>
          <w:lang w:val="en-US"/>
        </w:rPr>
        <w:t>365 day</w:t>
      </w:r>
      <w:r w:rsidRPr="12BD0A77" w:rsidR="67589058">
        <w:rPr>
          <w:rFonts w:ascii="Calibri" w:hAnsi="Calibri" w:eastAsia="Calibri" w:cs="Calibri"/>
          <w:noProof w:val="0"/>
          <w:sz w:val="22"/>
          <w:szCs w:val="22"/>
          <w:lang w:val="en-US"/>
        </w:rPr>
        <w:t xml:space="preserve"> period preceding the alienation to be taxed in the other jurisdiction, replaces Art</w:t>
      </w:r>
      <w:r w:rsidRPr="12BD0A77" w:rsidR="67589058">
        <w:rPr>
          <w:rFonts w:ascii="Calibri" w:hAnsi="Calibri" w:eastAsia="Calibri" w:cs="Calibri"/>
          <w:noProof w:val="0"/>
          <w:sz w:val="22"/>
          <w:szCs w:val="22"/>
          <w:lang w:val="en-US"/>
        </w:rPr>
        <w:t xml:space="preserve">. 13(3) of this </w:t>
      </w:r>
      <w:r w:rsidRPr="12BD0A77" w:rsidR="67589058">
        <w:rPr>
          <w:rFonts w:ascii="Calibri" w:hAnsi="Calibri" w:eastAsia="Calibri" w:cs="Calibri"/>
          <w:noProof w:val="0"/>
          <w:sz w:val="22"/>
          <w:szCs w:val="22"/>
          <w:lang w:val="en-US"/>
        </w:rPr>
        <w:t>Agreement</w:t>
      </w:r>
      <w:r w:rsidRPr="12BD0A77" w:rsidR="67589058">
        <w:rPr>
          <w:rFonts w:ascii="Calibri" w:hAnsi="Calibri" w:eastAsia="Calibri" w:cs="Calibri"/>
          <w:noProof w:val="0"/>
          <w:sz w:val="22"/>
          <w:szCs w:val="22"/>
          <w:lang w:val="en-US"/>
        </w:rPr>
        <w:t>.</w:t>
      </w:r>
    </w:p>
    <w:p w:rsidRPr="00143ADC" w:rsidR="00D52B61" w:rsidP="00D52B61" w:rsidRDefault="00D52B61" w14:paraId="49430A98" w14:textId="77777777">
      <w:pPr>
        <w:rPr>
          <w:rFonts w:ascii="Calibri" w:hAnsi="Calibri" w:cs="Calibri"/>
        </w:rPr>
      </w:pPr>
      <w:r w:rsidRPr="00143ADC">
        <w:rPr>
          <w:rFonts w:ascii="Calibri" w:hAnsi="Calibri" w:cs="Calibri"/>
          <w:b/>
          <w:bCs/>
        </w:rPr>
        <w:t>Mutual Agreement Procedure (MLI Article 16)</w:t>
      </w:r>
      <w:r w:rsidRPr="00143ADC">
        <w:rPr>
          <w:rFonts w:ascii="Calibri" w:hAnsi="Calibri" w:cs="Calibri"/>
        </w:rPr>
        <w:t> </w:t>
      </w:r>
    </w:p>
    <w:p w:rsidR="00965320" w:rsidP="12BD0A77" w:rsidRDefault="00D877E7" w14:paraId="4995E75A" w14:textId="04FE96DD">
      <w:pPr>
        <w:rPr>
          <w:rFonts w:ascii="Calibri" w:hAnsi="Calibri" w:cs="Calibri"/>
          <w:i w:val="1"/>
          <w:iCs w:val="1"/>
          <w:color w:val="242424"/>
          <w:shd w:val="clear" w:color="auto" w:fill="FFFFFF"/>
        </w:rPr>
      </w:pPr>
      <w:r w:rsidRPr="12BD0A77" w:rsidR="00D877E7">
        <w:rPr>
          <w:rFonts w:ascii="Calibri" w:hAnsi="Calibri" w:cs="Calibri"/>
          <w:i w:val="1"/>
          <w:iCs w:val="1"/>
          <w:color w:val="242424"/>
          <w:shd w:val="clear" w:color="auto" w:fill="FFFFFF"/>
        </w:rPr>
        <w:t xml:space="preserve">[Note: The OECD MLI Matching Database has </w:t>
      </w:r>
      <w:r w:rsidRPr="12BD0A77" w:rsidR="00D877E7">
        <w:rPr>
          <w:rFonts w:ascii="Calibri" w:hAnsi="Calibri" w:cs="Calibri"/>
          <w:i w:val="1"/>
          <w:iCs w:val="1"/>
          <w:color w:val="242424"/>
          <w:shd w:val="clear" w:color="auto" w:fill="FFFFFF"/>
        </w:rPr>
        <w:t xml:space="preserve">indicated</w:t>
      </w:r>
      <w:r w:rsidRPr="12BD0A77" w:rsidR="00D877E7">
        <w:rPr>
          <w:rFonts w:ascii="Calibri" w:hAnsi="Calibri" w:cs="Calibri"/>
          <w:i w:val="1"/>
          <w:iCs w:val="1"/>
          <w:color w:val="242424"/>
          <w:shd w:val="clear" w:color="auto" w:fill="FFFFFF"/>
        </w:rPr>
        <w:t xml:space="preserve"> a </w:t>
      </w:r>
      <w:r w:rsidRPr="12BD0A77" w:rsidR="00D877E7">
        <w:rPr>
          <w:rFonts w:ascii="Calibri" w:hAnsi="Calibri" w:cs="Calibri"/>
          <w:i w:val="1"/>
          <w:iCs w:val="1"/>
          <w:color w:val="242424"/>
          <w:shd w:val="clear" w:color="auto" w:fill="FFFFFF"/>
        </w:rPr>
        <w:t xml:space="preserve">possible notification</w:t>
      </w:r>
      <w:r w:rsidRPr="12BD0A77" w:rsidR="00D877E7">
        <w:rPr>
          <w:rFonts w:ascii="Calibri" w:hAnsi="Calibri" w:cs="Calibri"/>
          <w:i w:val="1"/>
          <w:iCs w:val="1"/>
          <w:color w:val="242424"/>
          <w:shd w:val="clear" w:color="auto" w:fill="FFFFFF"/>
        </w:rPr>
        <w:t xml:space="preserve"> mismatch which requires confirmation as to whether both </w:t>
      </w:r>
      <w:r w:rsidRPr="12BD0A77" w:rsidR="00D877E7">
        <w:rPr>
          <w:rFonts w:ascii="Calibri" w:hAnsi="Calibri" w:cs="Calibri"/>
          <w:i w:val="1"/>
          <w:iCs w:val="1"/>
          <w:color w:val="242424"/>
          <w:shd w:val="clear" w:color="auto" w:fill="FFFFFF"/>
        </w:rPr>
        <w:t xml:space="preserve">jurisdictions</w:t>
      </w:r>
      <w:r w:rsidRPr="12BD0A77" w:rsidR="00D877E7">
        <w:rPr>
          <w:rFonts w:ascii="Calibri" w:hAnsi="Calibri" w:cs="Calibri"/>
          <w:i w:val="1"/>
          <w:iCs w:val="1"/>
          <w:color w:val="242424"/>
          <w:shd w:val="clear" w:color="auto" w:fill="FFFFFF"/>
        </w:rPr>
        <w:t xml:space="preserve"> have </w:t>
      </w:r>
      <w:r w:rsidRPr="12BD0A77" w:rsidR="00D877E7">
        <w:rPr>
          <w:rFonts w:ascii="Calibri" w:hAnsi="Calibri" w:cs="Calibri"/>
          <w:i w:val="1"/>
          <w:iCs w:val="1"/>
          <w:color w:val="242424"/>
          <w:shd w:val="clear" w:color="auto" w:fill="FFFFFF"/>
        </w:rPr>
        <w:t xml:space="preserve">identified</w:t>
      </w:r>
      <w:r w:rsidRPr="12BD0A77" w:rsidR="00D877E7">
        <w:rPr>
          <w:rFonts w:ascii="Calibri" w:hAnsi="Calibri" w:cs="Calibri"/>
          <w:i w:val="1"/>
          <w:iCs w:val="1"/>
          <w:color w:val="242424"/>
          <w:shd w:val="clear" w:color="auto" w:fill="FFFFFF"/>
        </w:rPr>
        <w:t xml:space="preserve"> the same provision </w:t>
      </w:r>
      <w:r w:rsidRPr="12BD0A77" w:rsidR="00D877E7">
        <w:rPr>
          <w:rFonts w:ascii="Calibri" w:hAnsi="Calibri" w:cs="Calibri"/>
          <w:i w:val="1"/>
          <w:iCs w:val="1"/>
          <w:color w:val="242424"/>
          <w:shd w:val="clear" w:color="auto" w:fill="FFFFFF"/>
        </w:rPr>
        <w:t xml:space="preserve">under MLI Art. 16(6)(b)(</w:t>
      </w:r>
      <w:r w:rsidRPr="12BD0A77" w:rsidR="00D877E7">
        <w:rPr>
          <w:rFonts w:ascii="Calibri" w:hAnsi="Calibri" w:cs="Calibri"/>
          <w:i w:val="1"/>
          <w:iCs w:val="1"/>
          <w:color w:val="242424"/>
          <w:shd w:val="clear" w:color="auto" w:fill="FFFFFF"/>
        </w:rPr>
        <w:t xml:space="preserve">i</w:t>
      </w:r>
      <w:r w:rsidRPr="12BD0A77" w:rsidR="00D877E7">
        <w:rPr>
          <w:rFonts w:ascii="Calibri" w:hAnsi="Calibri" w:cs="Calibri"/>
          <w:i w:val="1"/>
          <w:iCs w:val="1"/>
          <w:color w:val="242424"/>
          <w:shd w:val="clear" w:color="auto" w:fill="FFFFFF"/>
        </w:rPr>
        <w:t xml:space="preserve">). Canada notified Art. </w:t>
      </w:r>
      <w:r w:rsidRPr="12BD0A77" w:rsidR="00D877E7">
        <w:rPr>
          <w:rFonts w:ascii="Calibri" w:hAnsi="Calibri" w:cs="Calibri"/>
          <w:i w:val="1"/>
          <w:iCs w:val="1"/>
          <w:color w:val="242424"/>
          <w:shd w:val="clear" w:color="auto" w:fill="FFFFFF"/>
        </w:rPr>
        <w:t>XXV</w:t>
      </w:r>
      <w:r w:rsidRPr="12BD0A77" w:rsidR="00103C83">
        <w:rPr>
          <w:rFonts w:ascii="Calibri" w:hAnsi="Calibri" w:cs="Calibri"/>
          <w:i w:val="1"/>
          <w:iCs w:val="1"/>
          <w:color w:val="242424"/>
          <w:shd w:val="clear" w:color="auto" w:fill="FFFFFF"/>
        </w:rPr>
        <w:t>I</w:t>
      </w:r>
      <w:r w:rsidRPr="12BD0A77" w:rsidR="002D516C">
        <w:rPr>
          <w:rFonts w:ascii="Calibri" w:hAnsi="Calibri" w:cs="Calibri"/>
          <w:i w:val="1"/>
          <w:iCs w:val="1"/>
          <w:color w:val="242424"/>
          <w:shd w:val="clear" w:color="auto" w:fill="FFFFFF"/>
        </w:rPr>
        <w:t>(</w:t>
      </w:r>
      <w:r w:rsidRPr="12BD0A77" w:rsidR="00D877E7">
        <w:rPr>
          <w:rFonts w:ascii="Calibri" w:hAnsi="Calibri" w:cs="Calibri"/>
          <w:i w:val="1"/>
          <w:iCs w:val="1"/>
          <w:color w:val="242424"/>
          <w:shd w:val="clear" w:color="auto" w:fill="FFFFFF"/>
        </w:rPr>
        <w:t xml:space="preserve">1)(</w:t>
      </w:r>
      <w:r w:rsidRPr="12BD0A77" w:rsidR="00D877E7">
        <w:rPr>
          <w:rFonts w:ascii="Calibri" w:hAnsi="Calibri" w:cs="Calibri"/>
          <w:i w:val="1"/>
          <w:iCs w:val="1"/>
          <w:color w:val="242424"/>
          <w:shd w:val="clear" w:color="auto" w:fill="FFFFFF"/>
        </w:rPr>
        <w:t xml:space="preserve">second sentence</w:t>
      </w:r>
      <w:r w:rsidRPr="12BD0A77" w:rsidR="00D877E7">
        <w:rPr>
          <w:rFonts w:ascii="Calibri" w:hAnsi="Calibri" w:cs="Calibri"/>
          <w:i w:val="1"/>
          <w:iCs w:val="1"/>
          <w:color w:val="242424"/>
          <w:shd w:val="clear" w:color="auto" w:fill="FFFFFF"/>
        </w:rPr>
        <w:t xml:space="preserve">)</w:t>
      </w:r>
      <w:r w:rsidRPr="12BD0A77" w:rsidR="00D877E7">
        <w:rPr>
          <w:rFonts w:ascii="Calibri" w:hAnsi="Calibri" w:cs="Calibri"/>
          <w:i w:val="1"/>
          <w:iCs w:val="1"/>
          <w:color w:val="242424"/>
          <w:shd w:val="clear" w:color="auto" w:fill="FFFFFF"/>
        </w:rPr>
        <w:t xml:space="preserve"> and </w:t>
      </w:r>
      <w:r w:rsidRPr="12BD0A77" w:rsidR="002D516C">
        <w:rPr>
          <w:rFonts w:ascii="Calibri" w:hAnsi="Calibri" w:cs="Calibri"/>
          <w:i w:val="1"/>
          <w:iCs w:val="1"/>
          <w:color w:val="242424"/>
          <w:shd w:val="clear" w:color="auto" w:fill="FFFFFF"/>
        </w:rPr>
        <w:t>Kenya</w:t>
      </w:r>
      <w:r w:rsidRPr="12BD0A77" w:rsidR="00D877E7">
        <w:rPr>
          <w:rFonts w:ascii="Calibri" w:hAnsi="Calibri" w:cs="Calibri"/>
          <w:i w:val="1"/>
          <w:iCs w:val="1"/>
          <w:color w:val="242424"/>
          <w:shd w:val="clear" w:color="auto" w:fill="FFFFFF"/>
        </w:rPr>
        <w:t xml:space="preserve"> notified Art. 2</w:t>
      </w:r>
      <w:r w:rsidRPr="12BD0A77" w:rsidR="00103C83">
        <w:rPr>
          <w:rFonts w:ascii="Calibri" w:hAnsi="Calibri" w:cs="Calibri"/>
          <w:i w:val="1"/>
          <w:iCs w:val="1"/>
          <w:color w:val="242424"/>
          <w:shd w:val="clear" w:color="auto" w:fill="FFFFFF"/>
        </w:rPr>
        <w:t>6</w:t>
      </w:r>
      <w:r w:rsidRPr="12BD0A77" w:rsidR="00D877E7">
        <w:rPr>
          <w:rFonts w:ascii="Calibri" w:hAnsi="Calibri" w:cs="Calibri"/>
          <w:i w:val="1"/>
          <w:iCs w:val="1"/>
          <w:color w:val="242424"/>
          <w:shd w:val="clear" w:color="auto" w:fill="FFFFFF"/>
        </w:rPr>
        <w:t>(</w:t>
      </w:r>
      <w:r w:rsidRPr="12BD0A77" w:rsidR="00D877E7">
        <w:rPr>
          <w:rFonts w:ascii="Calibri" w:hAnsi="Calibri" w:cs="Calibri"/>
          <w:i w:val="1"/>
          <w:iCs w:val="1"/>
          <w:color w:val="242424"/>
          <w:shd w:val="clear" w:color="auto" w:fill="FFFFFF"/>
        </w:rPr>
        <w:t>1)(</w:t>
      </w:r>
      <w:r w:rsidRPr="12BD0A77" w:rsidR="00D877E7">
        <w:rPr>
          <w:rFonts w:ascii="Calibri" w:hAnsi="Calibri" w:cs="Calibri"/>
          <w:i w:val="1"/>
          <w:iCs w:val="1"/>
          <w:color w:val="242424"/>
          <w:shd w:val="clear" w:color="auto" w:fill="FFFFFF"/>
        </w:rPr>
        <w:t xml:space="preserve">second sentence). The following discussion assumes there is no mismatch</w:t>
      </w:r>
      <w:r w:rsidRPr="12BD0A77" w:rsidR="415639D9">
        <w:rPr>
          <w:rFonts w:ascii="Calibri" w:hAnsi="Calibri" w:cs="Calibri"/>
          <w:i w:val="1"/>
          <w:iCs w:val="1"/>
          <w:color w:val="242424"/>
          <w:shd w:val="clear" w:color="auto" w:fill="FFFFFF"/>
        </w:rPr>
        <w:t xml:space="preserve">, </w:t>
      </w:r>
      <w:r w:rsidRPr="12BD0A77" w:rsidR="00D877E7">
        <w:rPr>
          <w:rFonts w:ascii="Calibri" w:hAnsi="Calibri" w:cs="Calibri"/>
          <w:i w:val="1"/>
          <w:iCs w:val="1"/>
          <w:color w:val="242424"/>
          <w:shd w:val="clear" w:color="auto" w:fill="FFFFFF"/>
        </w:rPr>
        <w:t xml:space="preserve">i.e., that both </w:t>
      </w:r>
      <w:r w:rsidRPr="12BD0A77" w:rsidR="00D877E7">
        <w:rPr>
          <w:rFonts w:ascii="Calibri" w:hAnsi="Calibri" w:cs="Calibri"/>
          <w:i w:val="1"/>
          <w:iCs w:val="1"/>
          <w:color w:val="242424"/>
          <w:shd w:val="clear" w:color="auto" w:fill="FFFFFF"/>
        </w:rPr>
        <w:t>jurisdictions</w:t>
      </w:r>
      <w:r w:rsidRPr="12BD0A77" w:rsidR="00D877E7">
        <w:rPr>
          <w:rFonts w:ascii="Calibri" w:hAnsi="Calibri" w:cs="Calibri"/>
          <w:i w:val="1"/>
          <w:iCs w:val="1"/>
          <w:color w:val="242424"/>
          <w:shd w:val="clear" w:color="auto" w:fill="FFFFFF"/>
        </w:rPr>
        <w:t xml:space="preserve"> have notified the same provision</w:t>
      </w:r>
      <w:r w:rsidRPr="12BD0A77" w:rsidR="5827C809">
        <w:rPr>
          <w:rFonts w:ascii="Calibri" w:hAnsi="Calibri" w:cs="Calibri"/>
          <w:i w:val="1"/>
          <w:iCs w:val="1"/>
          <w:color w:val="242424"/>
          <w:shd w:val="clear" w:color="auto" w:fill="FFFFFF"/>
        </w:rPr>
        <w:t xml:space="preserve"> under MLI Art. 16(6)(b)(i)</w:t>
      </w:r>
      <w:r w:rsidRPr="12BD0A77" w:rsidR="00D877E7">
        <w:rPr>
          <w:rFonts w:ascii="Calibri" w:hAnsi="Calibri" w:cs="Calibri"/>
          <w:i w:val="1"/>
          <w:iCs w:val="1"/>
          <w:color w:val="242424"/>
          <w:shd w:val="clear" w:color="auto" w:fill="FFFFFF"/>
        </w:rPr>
        <w:t xml:space="preserve">. If there is a mismatch, MLI Art</w:t>
      </w:r>
      <w:r w:rsidRPr="12BD0A77" w:rsidR="00D877E7">
        <w:rPr>
          <w:rFonts w:ascii="Calibri" w:hAnsi="Calibri" w:cs="Calibri"/>
          <w:i w:val="1"/>
          <w:iCs w:val="1"/>
          <w:color w:val="242424"/>
          <w:shd w:val="clear" w:color="auto" w:fill="FFFFFF"/>
        </w:rPr>
        <w:t xml:space="preserve">. 1</w:t>
      </w:r>
      <w:r w:rsidRPr="12BD0A77" w:rsidR="00D877E7">
        <w:rPr>
          <w:rFonts w:ascii="Calibri" w:hAnsi="Calibri" w:cs="Calibri"/>
          <w:i w:val="1"/>
          <w:iCs w:val="1"/>
          <w:color w:val="242424"/>
          <w:shd w:val="clear" w:color="auto" w:fill="FFFFFF"/>
        </w:rPr>
        <w:t xml:space="preserve">6(</w:t>
      </w:r>
      <w:r w:rsidRPr="12BD0A77" w:rsidR="00D877E7">
        <w:rPr>
          <w:rFonts w:ascii="Calibri" w:hAnsi="Calibri" w:cs="Calibri"/>
          <w:i w:val="1"/>
          <w:iCs w:val="1"/>
          <w:color w:val="242424"/>
          <w:shd w:val="clear" w:color="auto" w:fill="FFFFFF"/>
        </w:rPr>
        <w:t>1)(</w:t>
      </w:r>
      <w:r w:rsidRPr="12BD0A77" w:rsidR="00D877E7">
        <w:rPr>
          <w:rFonts w:ascii="Calibri" w:hAnsi="Calibri" w:cs="Calibri"/>
          <w:i w:val="1"/>
          <w:iCs w:val="1"/>
          <w:color w:val="242424"/>
          <w:shd w:val="clear" w:color="auto" w:fill="FFFFFF"/>
        </w:rPr>
        <w:t xml:space="preserve">second sentence) is added to </w:t>
      </w:r>
      <w:r w:rsidRPr="12BD0A77" w:rsidR="00E0497D">
        <w:rPr>
          <w:rFonts w:ascii="Calibri" w:hAnsi="Calibri" w:cs="Calibri"/>
          <w:i w:val="1"/>
          <w:iCs w:val="1"/>
          <w:color w:val="242424"/>
          <w:shd w:val="clear" w:color="auto" w:fill="FFFFFF"/>
        </w:rPr>
        <w:t xml:space="preserve">the </w:t>
      </w:r>
      <w:r w:rsidRPr="12BD0A77" w:rsidR="00D877E7">
        <w:rPr>
          <w:rFonts w:ascii="Calibri" w:hAnsi="Calibri" w:cs="Calibri"/>
          <w:i w:val="1"/>
          <w:iCs w:val="1"/>
          <w:color w:val="242424"/>
          <w:shd w:val="clear" w:color="auto" w:fill="FFFFFF"/>
        </w:rPr>
        <w:t>existing article</w:t>
      </w:r>
      <w:r w:rsidRPr="12BD0A77" w:rsidR="00E0497D">
        <w:rPr>
          <w:rFonts w:ascii="Calibri" w:hAnsi="Calibri" w:cs="Calibri"/>
          <w:i w:val="1"/>
          <w:iCs w:val="1"/>
          <w:color w:val="242424"/>
          <w:shd w:val="clear" w:color="auto" w:fill="FFFFFF"/>
        </w:rPr>
        <w:t xml:space="preserve"> of this </w:t>
      </w:r>
      <w:r w:rsidRPr="12BD0A77" w:rsidR="00103C83">
        <w:rPr>
          <w:rFonts w:ascii="Calibri" w:hAnsi="Calibri" w:cs="Calibri"/>
          <w:i w:val="1"/>
          <w:iCs w:val="1"/>
          <w:color w:val="242424"/>
          <w:shd w:val="clear" w:color="auto" w:fill="FFFFFF"/>
        </w:rPr>
        <w:t>Agreement</w:t>
      </w:r>
      <w:r w:rsidRPr="12BD0A77" w:rsidR="00D877E7">
        <w:rPr>
          <w:rFonts w:ascii="Calibri" w:hAnsi="Calibri" w:cs="Calibri"/>
          <w:i w:val="1"/>
          <w:iCs w:val="1"/>
          <w:color w:val="242424"/>
          <w:shd w:val="clear" w:color="auto" w:fill="FFFFFF"/>
        </w:rPr>
        <w:t>.]</w:t>
      </w:r>
    </w:p>
    <w:p w:rsidR="00A9719E" w:rsidP="00D52B61" w:rsidRDefault="00E94628" w14:paraId="6EB6D042" w14:textId="2E16847B">
      <w:pPr>
        <w:rPr>
          <w:rFonts w:ascii="Calibri" w:hAnsi="Calibri" w:cs="Calibri"/>
        </w:rPr>
      </w:pPr>
      <w:r w:rsidRPr="00E94628">
        <w:rPr>
          <w:rFonts w:ascii="Calibri" w:hAnsi="Calibri" w:cs="Calibri"/>
        </w:rPr>
        <w:t xml:space="preserve">The following provision of this </w:t>
      </w:r>
      <w:r>
        <w:rPr>
          <w:rFonts w:ascii="Calibri" w:hAnsi="Calibri" w:cs="Calibri"/>
        </w:rPr>
        <w:t>Agreement</w:t>
      </w:r>
      <w:r w:rsidRPr="00E94628">
        <w:rPr>
          <w:rFonts w:ascii="Calibri" w:hAnsi="Calibri" w:cs="Calibri"/>
        </w:rPr>
        <w:t xml:space="preserve"> related to dispute resolution </w:t>
      </w:r>
      <w:r>
        <w:rPr>
          <w:rFonts w:ascii="Calibri" w:hAnsi="Calibri" w:cs="Calibri"/>
        </w:rPr>
        <w:t xml:space="preserve">is </w:t>
      </w:r>
      <w:r w:rsidRPr="00E94628">
        <w:rPr>
          <w:rFonts w:ascii="Calibri" w:hAnsi="Calibri" w:cs="Calibri"/>
        </w:rPr>
        <w:t>modified to meet the minimum standard: </w:t>
      </w:r>
    </w:p>
    <w:p w:rsidR="00A9719E" w:rsidP="00D52B61" w:rsidRDefault="006E3083" w14:paraId="6CF13EE8" w14:textId="1DDC7FDD">
      <w:pPr>
        <w:rPr>
          <w:rFonts w:ascii="Calibri" w:hAnsi="Calibri" w:cs="Calibri"/>
        </w:rPr>
      </w:pPr>
      <w:r w:rsidRPr="006E3083">
        <w:rPr>
          <w:rFonts w:ascii="Calibri" w:hAnsi="Calibri" w:cs="Calibri"/>
        </w:rPr>
        <w:t xml:space="preserve">•  The second sentence of MLI Art. 16(1), providing that a case be presented within three years from the first notification of action, </w:t>
      </w:r>
      <w:r>
        <w:rPr>
          <w:rFonts w:ascii="Calibri" w:hAnsi="Calibri" w:cs="Calibri"/>
        </w:rPr>
        <w:t>replaces the second sentence of Art. 26(1) of this A</w:t>
      </w:r>
      <w:r w:rsidR="006C475B">
        <w:rPr>
          <w:rFonts w:ascii="Calibri" w:hAnsi="Calibri" w:cs="Calibri"/>
        </w:rPr>
        <w:t xml:space="preserve">greement. </w:t>
      </w:r>
    </w:p>
    <w:p w:rsidRPr="00143ADC" w:rsidR="00D52B61" w:rsidP="00D52B61" w:rsidRDefault="00D52B61" w14:paraId="2BFA3E44" w14:textId="7660718E">
      <w:pPr>
        <w:rPr>
          <w:rFonts w:ascii="Calibri" w:hAnsi="Calibri" w:cs="Calibri"/>
        </w:rPr>
      </w:pPr>
      <w:r w:rsidRPr="5672C084" w:rsidR="00D52B61">
        <w:rPr>
          <w:rFonts w:ascii="Calibri" w:hAnsi="Calibri" w:cs="Calibri"/>
        </w:rPr>
        <w:t xml:space="preserve">The first sentence of MLI Art. 16(1), providing that a person may present a case to the competent authority of either </w:t>
      </w:r>
      <w:r w:rsidRPr="5672C084" w:rsidR="00D52B61">
        <w:rPr>
          <w:rFonts w:ascii="Calibri" w:hAnsi="Calibri" w:cs="Calibri"/>
        </w:rPr>
        <w:t>jurisdiction</w:t>
      </w:r>
      <w:r w:rsidRPr="5672C084" w:rsidR="00D52B61">
        <w:rPr>
          <w:rFonts w:ascii="Calibri" w:hAnsi="Calibri" w:cs="Calibri"/>
        </w:rPr>
        <w:t xml:space="preserve">, does not apply as </w:t>
      </w:r>
      <w:r w:rsidRPr="5672C084" w:rsidR="007B0F2C">
        <w:rPr>
          <w:rFonts w:ascii="Calibri" w:hAnsi="Calibri" w:cs="Calibri"/>
        </w:rPr>
        <w:t xml:space="preserve">both </w:t>
      </w:r>
      <w:r w:rsidRPr="5672C084" w:rsidR="00D52B61">
        <w:rPr>
          <w:rFonts w:ascii="Calibri" w:hAnsi="Calibri" w:cs="Calibri"/>
        </w:rPr>
        <w:t xml:space="preserve">Canada </w:t>
      </w:r>
      <w:r w:rsidRPr="5672C084" w:rsidR="007B0F2C">
        <w:rPr>
          <w:rFonts w:ascii="Calibri" w:hAnsi="Calibri" w:cs="Calibri"/>
        </w:rPr>
        <w:t xml:space="preserve">and Kenya </w:t>
      </w:r>
      <w:r w:rsidRPr="5672C084" w:rsidR="00D52B61">
        <w:rPr>
          <w:rFonts w:ascii="Calibri" w:hAnsi="Calibri" w:cs="Calibri"/>
        </w:rPr>
        <w:t xml:space="preserve">intend to meet the </w:t>
      </w:r>
      <w:r w:rsidRPr="5672C084" w:rsidR="00D52B61">
        <w:rPr>
          <w:rFonts w:ascii="Calibri" w:hAnsi="Calibri" w:cs="Calibri"/>
        </w:rPr>
        <w:t>minimum</w:t>
      </w:r>
      <w:r w:rsidRPr="5672C084" w:rsidR="00D52B61">
        <w:rPr>
          <w:rFonts w:ascii="Calibri" w:hAnsi="Calibri" w:cs="Calibri"/>
        </w:rPr>
        <w:t xml:space="preserve"> standard through other measures. The second sentence of MLI Art. 16(2), providing that any agreement be implemented </w:t>
      </w:r>
      <w:r w:rsidRPr="5672C084" w:rsidR="00D52B61">
        <w:rPr>
          <w:rFonts w:ascii="Calibri" w:hAnsi="Calibri" w:cs="Calibri"/>
        </w:rPr>
        <w:t>notwithstanding</w:t>
      </w:r>
      <w:r w:rsidRPr="5672C084" w:rsidR="00D52B61">
        <w:rPr>
          <w:rFonts w:ascii="Calibri" w:hAnsi="Calibri" w:cs="Calibri"/>
        </w:rPr>
        <w:t xml:space="preserve"> any time limits in the domestic law of either </w:t>
      </w:r>
      <w:r w:rsidRPr="5672C084" w:rsidR="00D52B61">
        <w:rPr>
          <w:rFonts w:ascii="Calibri" w:hAnsi="Calibri" w:cs="Calibri"/>
        </w:rPr>
        <w:t>jurisdiction</w:t>
      </w:r>
      <w:r w:rsidRPr="5672C084" w:rsidR="00D52B61">
        <w:rPr>
          <w:rFonts w:ascii="Calibri" w:hAnsi="Calibri" w:cs="Calibri"/>
        </w:rPr>
        <w:t xml:space="preserve">, does not apply as Canada intends to meet the </w:t>
      </w:r>
      <w:r w:rsidRPr="5672C084" w:rsidR="00D52B61">
        <w:rPr>
          <w:rFonts w:ascii="Calibri" w:hAnsi="Calibri" w:cs="Calibri"/>
        </w:rPr>
        <w:t>minimum</w:t>
      </w:r>
      <w:r w:rsidRPr="5672C084" w:rsidR="00D52B61">
        <w:rPr>
          <w:rFonts w:ascii="Calibri" w:hAnsi="Calibri" w:cs="Calibri"/>
        </w:rPr>
        <w:t xml:space="preserve"> standard through other measures.</w:t>
      </w:r>
      <w:r w:rsidRPr="5672C084" w:rsidR="00D52B61">
        <w:rPr>
          <w:rFonts w:ascii="Calibri" w:hAnsi="Calibri" w:cs="Calibri"/>
        </w:rPr>
        <w:t>  </w:t>
      </w:r>
    </w:p>
    <w:p w:rsidR="00B7364C" w:rsidRDefault="00502513" w14:paraId="11F698E7" w14:textId="15C82426">
      <w:pPr>
        <w:rPr>
          <w:rFonts w:ascii="Calibri" w:hAnsi="Calibri" w:cs="Calibri"/>
        </w:rPr>
      </w:pPr>
      <w:r w:rsidRPr="00143ADC">
        <w:rPr>
          <w:rFonts w:ascii="Calibri" w:hAnsi="Calibri" w:cs="Calibri"/>
        </w:rPr>
        <w:t xml:space="preserve">The remaining provisions of this </w:t>
      </w:r>
      <w:r w:rsidRPr="00143ADC" w:rsidR="00B21338">
        <w:rPr>
          <w:rFonts w:ascii="Calibri" w:hAnsi="Calibri" w:cs="Calibri"/>
        </w:rPr>
        <w:t>Agreement</w:t>
      </w:r>
      <w:r w:rsidRPr="00143ADC">
        <w:rPr>
          <w:rFonts w:ascii="Calibri" w:hAnsi="Calibri" w:cs="Calibri"/>
        </w:rPr>
        <w:t xml:space="preserve"> relating to dispute resolution are retained as they are considered consistent in content with the provisions of MLI Art. 16(</w:t>
      </w:r>
      <w:proofErr w:type="gramStart"/>
      <w:r w:rsidRPr="00143ADC">
        <w:rPr>
          <w:rFonts w:ascii="Calibri" w:hAnsi="Calibri" w:cs="Calibri"/>
        </w:rPr>
        <w:t>2)(</w:t>
      </w:r>
      <w:proofErr w:type="gramEnd"/>
      <w:r w:rsidRPr="00143ADC">
        <w:rPr>
          <w:rFonts w:ascii="Calibri" w:hAnsi="Calibri" w:cs="Calibri"/>
        </w:rPr>
        <w:t>first sentence), and MLI Art. 16(3), and meet the minimum standard. </w:t>
      </w:r>
    </w:p>
    <w:p w:rsidRPr="00143ADC" w:rsidR="00CE7778" w:rsidRDefault="008E0C3A" w14:paraId="212CC4E3" w14:textId="49210423">
      <w:pPr>
        <w:rPr>
          <w:rFonts w:ascii="Calibri" w:hAnsi="Calibri" w:cs="Calibri"/>
        </w:rPr>
      </w:pPr>
      <w:r>
        <w:rPr>
          <w:rStyle w:val="normaltextrun"/>
          <w:rFonts w:ascii="Calibri" w:hAnsi="Calibri" w:cs="Calibri"/>
          <w:color w:val="000000"/>
        </w:rPr>
        <w:t xml:space="preserve">According to MLI Art. 35(4), the mutual agreement procedure provisions of MLI Art. 16 have </w:t>
      </w:r>
      <w:proofErr w:type="gramStart"/>
      <w:r>
        <w:rPr>
          <w:rStyle w:val="normaltextrun"/>
          <w:rFonts w:ascii="Calibri" w:hAnsi="Calibri" w:cs="Calibri"/>
          <w:color w:val="000000"/>
        </w:rPr>
        <w:t>effect</w:t>
      </w:r>
      <w:proofErr w:type="gramEnd"/>
      <w:r>
        <w:rPr>
          <w:rStyle w:val="normaltextrun"/>
          <w:rFonts w:ascii="Calibri" w:hAnsi="Calibri" w:cs="Calibri"/>
          <w:color w:val="000000"/>
        </w:rPr>
        <w:t xml:space="preserve"> for cases presented to the competent authority on or after May 1, 2025, except for cases that were not eligible to be presented as of that date, without regard to the taxable period to which the case relates.</w:t>
      </w:r>
    </w:p>
    <w:sectPr w:rsidRPr="00143ADC" w:rsidR="00CE7778">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FBE"/>
    <w:rsid w:val="0005498F"/>
    <w:rsid w:val="000E6B0D"/>
    <w:rsid w:val="00103C83"/>
    <w:rsid w:val="00143ADC"/>
    <w:rsid w:val="001D2109"/>
    <w:rsid w:val="002D516C"/>
    <w:rsid w:val="00356FBE"/>
    <w:rsid w:val="003868DC"/>
    <w:rsid w:val="00431E9A"/>
    <w:rsid w:val="00463823"/>
    <w:rsid w:val="0047663D"/>
    <w:rsid w:val="00502513"/>
    <w:rsid w:val="005A4C27"/>
    <w:rsid w:val="00623672"/>
    <w:rsid w:val="006C475B"/>
    <w:rsid w:val="006E3083"/>
    <w:rsid w:val="0070582F"/>
    <w:rsid w:val="00773765"/>
    <w:rsid w:val="00791878"/>
    <w:rsid w:val="007968C0"/>
    <w:rsid w:val="007B0F2C"/>
    <w:rsid w:val="00865B45"/>
    <w:rsid w:val="008E0C3A"/>
    <w:rsid w:val="00923F89"/>
    <w:rsid w:val="00965320"/>
    <w:rsid w:val="00993A57"/>
    <w:rsid w:val="00A11F3C"/>
    <w:rsid w:val="00A40BB6"/>
    <w:rsid w:val="00A9719E"/>
    <w:rsid w:val="00AE6792"/>
    <w:rsid w:val="00B21338"/>
    <w:rsid w:val="00B7364C"/>
    <w:rsid w:val="00BC5C72"/>
    <w:rsid w:val="00BD096E"/>
    <w:rsid w:val="00BD60B4"/>
    <w:rsid w:val="00C1168F"/>
    <w:rsid w:val="00C46573"/>
    <w:rsid w:val="00CE7778"/>
    <w:rsid w:val="00D52086"/>
    <w:rsid w:val="00D52B61"/>
    <w:rsid w:val="00D877E7"/>
    <w:rsid w:val="00DE2ABB"/>
    <w:rsid w:val="00E0497D"/>
    <w:rsid w:val="00E549D3"/>
    <w:rsid w:val="00E94628"/>
    <w:rsid w:val="00F0599B"/>
    <w:rsid w:val="00FC43A4"/>
    <w:rsid w:val="00FD38AD"/>
    <w:rsid w:val="00FF45BF"/>
    <w:rsid w:val="0925A95F"/>
    <w:rsid w:val="09A87BF3"/>
    <w:rsid w:val="0D6901EB"/>
    <w:rsid w:val="11B40ACE"/>
    <w:rsid w:val="12BD0A77"/>
    <w:rsid w:val="13D5B3A7"/>
    <w:rsid w:val="13F74880"/>
    <w:rsid w:val="148FD7AA"/>
    <w:rsid w:val="189B6D54"/>
    <w:rsid w:val="1F273A40"/>
    <w:rsid w:val="2698F1EE"/>
    <w:rsid w:val="317F3942"/>
    <w:rsid w:val="3602A788"/>
    <w:rsid w:val="36E104B9"/>
    <w:rsid w:val="37853DB0"/>
    <w:rsid w:val="37BB1780"/>
    <w:rsid w:val="3AA8F935"/>
    <w:rsid w:val="3D5DB9C1"/>
    <w:rsid w:val="415639D9"/>
    <w:rsid w:val="43ACE0F0"/>
    <w:rsid w:val="4D7C4E27"/>
    <w:rsid w:val="4DA0BBAD"/>
    <w:rsid w:val="5672C084"/>
    <w:rsid w:val="57780F38"/>
    <w:rsid w:val="5827C809"/>
    <w:rsid w:val="5D29B087"/>
    <w:rsid w:val="604646C3"/>
    <w:rsid w:val="67589058"/>
    <w:rsid w:val="72C94798"/>
    <w:rsid w:val="7B49960A"/>
    <w:rsid w:val="7CBB7383"/>
    <w:rsid w:val="7D6837C5"/>
    <w:rsid w:val="7E35F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5AEF6"/>
  <w15:chartTrackingRefBased/>
  <w15:docId w15:val="{513D677C-EDEB-4CC1-A813-D1D7FF2EE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356FBE"/>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6FBE"/>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6FB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6FB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6FB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6FB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6FB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6FB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6FBE"/>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356FBE"/>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356FBE"/>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356FBE"/>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356FBE"/>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356FBE"/>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356FBE"/>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356FBE"/>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356FBE"/>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356FBE"/>
    <w:rPr>
      <w:rFonts w:eastAsiaTheme="majorEastAsia" w:cstheme="majorBidi"/>
      <w:color w:val="272727" w:themeColor="text1" w:themeTint="D8"/>
    </w:rPr>
  </w:style>
  <w:style w:type="paragraph" w:styleId="Title">
    <w:name w:val="Title"/>
    <w:basedOn w:val="Normal"/>
    <w:next w:val="Normal"/>
    <w:link w:val="TitleChar"/>
    <w:uiPriority w:val="10"/>
    <w:qFormat/>
    <w:rsid w:val="00356FBE"/>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356FBE"/>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356FBE"/>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356FB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6FBE"/>
    <w:pPr>
      <w:spacing w:before="160"/>
      <w:jc w:val="center"/>
    </w:pPr>
    <w:rPr>
      <w:i/>
      <w:iCs/>
      <w:color w:val="404040" w:themeColor="text1" w:themeTint="BF"/>
    </w:rPr>
  </w:style>
  <w:style w:type="character" w:styleId="QuoteChar" w:customStyle="1">
    <w:name w:val="Quote Char"/>
    <w:basedOn w:val="DefaultParagraphFont"/>
    <w:link w:val="Quote"/>
    <w:uiPriority w:val="29"/>
    <w:rsid w:val="00356FBE"/>
    <w:rPr>
      <w:i/>
      <w:iCs/>
      <w:color w:val="404040" w:themeColor="text1" w:themeTint="BF"/>
    </w:rPr>
  </w:style>
  <w:style w:type="paragraph" w:styleId="ListParagraph">
    <w:name w:val="List Paragraph"/>
    <w:basedOn w:val="Normal"/>
    <w:uiPriority w:val="34"/>
    <w:qFormat/>
    <w:rsid w:val="00356FBE"/>
    <w:pPr>
      <w:ind w:left="720"/>
      <w:contextualSpacing/>
    </w:pPr>
  </w:style>
  <w:style w:type="character" w:styleId="IntenseEmphasis">
    <w:name w:val="Intense Emphasis"/>
    <w:basedOn w:val="DefaultParagraphFont"/>
    <w:uiPriority w:val="21"/>
    <w:qFormat/>
    <w:rsid w:val="00356FBE"/>
    <w:rPr>
      <w:i/>
      <w:iCs/>
      <w:color w:val="0F4761" w:themeColor="accent1" w:themeShade="BF"/>
    </w:rPr>
  </w:style>
  <w:style w:type="paragraph" w:styleId="IntenseQuote">
    <w:name w:val="Intense Quote"/>
    <w:basedOn w:val="Normal"/>
    <w:next w:val="Normal"/>
    <w:link w:val="IntenseQuoteChar"/>
    <w:uiPriority w:val="30"/>
    <w:qFormat/>
    <w:rsid w:val="00356FBE"/>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356FBE"/>
    <w:rPr>
      <w:i/>
      <w:iCs/>
      <w:color w:val="0F4761" w:themeColor="accent1" w:themeShade="BF"/>
    </w:rPr>
  </w:style>
  <w:style w:type="character" w:styleId="IntenseReference">
    <w:name w:val="Intense Reference"/>
    <w:basedOn w:val="DefaultParagraphFont"/>
    <w:uiPriority w:val="32"/>
    <w:qFormat/>
    <w:rsid w:val="00356FBE"/>
    <w:rPr>
      <w:b/>
      <w:bCs/>
      <w:smallCaps/>
      <w:color w:val="0F4761" w:themeColor="accent1" w:themeShade="BF"/>
      <w:spacing w:val="5"/>
    </w:rPr>
  </w:style>
  <w:style w:type="character" w:styleId="Hyperlink">
    <w:name w:val="Hyperlink"/>
    <w:basedOn w:val="DefaultParagraphFont"/>
    <w:uiPriority w:val="99"/>
    <w:unhideWhenUsed/>
    <w:rsid w:val="00356FBE"/>
    <w:rPr>
      <w:color w:val="467886" w:themeColor="hyperlink"/>
      <w:u w:val="single"/>
    </w:rPr>
  </w:style>
  <w:style w:type="character" w:styleId="UnresolvedMention">
    <w:name w:val="Unresolved Mention"/>
    <w:basedOn w:val="DefaultParagraphFont"/>
    <w:uiPriority w:val="99"/>
    <w:semiHidden/>
    <w:unhideWhenUsed/>
    <w:rsid w:val="00356FBE"/>
    <w:rPr>
      <w:color w:val="605E5C"/>
      <w:shd w:val="clear" w:color="auto" w:fill="E1DFDD"/>
    </w:rPr>
  </w:style>
  <w:style w:type="paragraph" w:styleId="paragraph" w:customStyle="1">
    <w:name w:val="paragraph"/>
    <w:basedOn w:val="Normal"/>
    <w:rsid w:val="00D52B61"/>
    <w:pPr>
      <w:spacing w:before="100" w:beforeAutospacing="1" w:after="100" w:afterAutospacing="1" w:line="240" w:lineRule="auto"/>
    </w:pPr>
    <w:rPr>
      <w:rFonts w:ascii="Times New Roman" w:hAnsi="Times New Roman" w:eastAsia="Times New Roman" w:cs="Times New Roman"/>
      <w:kern w:val="0"/>
      <w:sz w:val="24"/>
      <w:szCs w:val="24"/>
      <w14:ligatures w14:val="none"/>
    </w:rPr>
  </w:style>
  <w:style w:type="character" w:styleId="normaltextrun" w:customStyle="1">
    <w:name w:val="normaltextrun"/>
    <w:basedOn w:val="DefaultParagraphFont"/>
    <w:rsid w:val="00D52B61"/>
  </w:style>
  <w:style w:type="character" w:styleId="eop" w:customStyle="1">
    <w:name w:val="eop"/>
    <w:basedOn w:val="DefaultParagraphFont"/>
    <w:rsid w:val="00D52B61"/>
  </w:style>
  <w:style w:type="character" w:styleId="CommentReference">
    <w:name w:val="annotation reference"/>
    <w:basedOn w:val="DefaultParagraphFont"/>
    <w:uiPriority w:val="99"/>
    <w:semiHidden/>
    <w:unhideWhenUsed/>
    <w:rsid w:val="001D2109"/>
    <w:rPr>
      <w:sz w:val="16"/>
      <w:szCs w:val="16"/>
    </w:rPr>
  </w:style>
  <w:style w:type="paragraph" w:styleId="CommentText">
    <w:name w:val="annotation text"/>
    <w:basedOn w:val="Normal"/>
    <w:link w:val="CommentTextChar"/>
    <w:uiPriority w:val="99"/>
    <w:unhideWhenUsed/>
    <w:rsid w:val="001D2109"/>
    <w:pPr>
      <w:spacing w:line="240" w:lineRule="auto"/>
    </w:pPr>
    <w:rPr>
      <w:sz w:val="20"/>
      <w:szCs w:val="20"/>
    </w:rPr>
  </w:style>
  <w:style w:type="character" w:styleId="CommentTextChar" w:customStyle="1">
    <w:name w:val="Comment Text Char"/>
    <w:basedOn w:val="DefaultParagraphFont"/>
    <w:link w:val="CommentText"/>
    <w:uiPriority w:val="99"/>
    <w:rsid w:val="001D2109"/>
    <w:rPr>
      <w:sz w:val="20"/>
      <w:szCs w:val="20"/>
    </w:rPr>
  </w:style>
  <w:style w:type="paragraph" w:styleId="CommentSubject">
    <w:name w:val="annotation subject"/>
    <w:basedOn w:val="CommentText"/>
    <w:next w:val="CommentText"/>
    <w:link w:val="CommentSubjectChar"/>
    <w:uiPriority w:val="99"/>
    <w:semiHidden/>
    <w:unhideWhenUsed/>
    <w:rsid w:val="001D2109"/>
    <w:rPr>
      <w:b/>
      <w:bCs/>
    </w:rPr>
  </w:style>
  <w:style w:type="character" w:styleId="CommentSubjectChar" w:customStyle="1">
    <w:name w:val="Comment Subject Char"/>
    <w:basedOn w:val="CommentTextChar"/>
    <w:link w:val="CommentSubject"/>
    <w:uiPriority w:val="99"/>
    <w:semiHidden/>
    <w:rsid w:val="001D21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443823">
      <w:bodyDiv w:val="1"/>
      <w:marLeft w:val="0"/>
      <w:marRight w:val="0"/>
      <w:marTop w:val="0"/>
      <w:marBottom w:val="0"/>
      <w:divBdr>
        <w:top w:val="none" w:sz="0" w:space="0" w:color="auto"/>
        <w:left w:val="none" w:sz="0" w:space="0" w:color="auto"/>
        <w:bottom w:val="none" w:sz="0" w:space="0" w:color="auto"/>
        <w:right w:val="none" w:sz="0" w:space="0" w:color="auto"/>
      </w:divBdr>
      <w:divsChild>
        <w:div w:id="1103454692">
          <w:marLeft w:val="0"/>
          <w:marRight w:val="0"/>
          <w:marTop w:val="0"/>
          <w:marBottom w:val="0"/>
          <w:divBdr>
            <w:top w:val="none" w:sz="0" w:space="0" w:color="auto"/>
            <w:left w:val="none" w:sz="0" w:space="0" w:color="auto"/>
            <w:bottom w:val="none" w:sz="0" w:space="0" w:color="auto"/>
            <w:right w:val="none" w:sz="0" w:space="0" w:color="auto"/>
          </w:divBdr>
        </w:div>
        <w:div w:id="108164572">
          <w:marLeft w:val="0"/>
          <w:marRight w:val="0"/>
          <w:marTop w:val="0"/>
          <w:marBottom w:val="0"/>
          <w:divBdr>
            <w:top w:val="none" w:sz="0" w:space="0" w:color="auto"/>
            <w:left w:val="none" w:sz="0" w:space="0" w:color="auto"/>
            <w:bottom w:val="none" w:sz="0" w:space="0" w:color="auto"/>
            <w:right w:val="none" w:sz="0" w:space="0" w:color="auto"/>
          </w:divBdr>
        </w:div>
        <w:div w:id="400449332">
          <w:marLeft w:val="0"/>
          <w:marRight w:val="0"/>
          <w:marTop w:val="0"/>
          <w:marBottom w:val="0"/>
          <w:divBdr>
            <w:top w:val="none" w:sz="0" w:space="0" w:color="auto"/>
            <w:left w:val="none" w:sz="0" w:space="0" w:color="auto"/>
            <w:bottom w:val="none" w:sz="0" w:space="0" w:color="auto"/>
            <w:right w:val="none" w:sz="0" w:space="0" w:color="auto"/>
          </w:divBdr>
        </w:div>
        <w:div w:id="1939948536">
          <w:marLeft w:val="0"/>
          <w:marRight w:val="0"/>
          <w:marTop w:val="0"/>
          <w:marBottom w:val="0"/>
          <w:divBdr>
            <w:top w:val="none" w:sz="0" w:space="0" w:color="auto"/>
            <w:left w:val="none" w:sz="0" w:space="0" w:color="auto"/>
            <w:bottom w:val="none" w:sz="0" w:space="0" w:color="auto"/>
            <w:right w:val="none" w:sz="0" w:space="0" w:color="auto"/>
          </w:divBdr>
        </w:div>
        <w:div w:id="453450916">
          <w:marLeft w:val="0"/>
          <w:marRight w:val="0"/>
          <w:marTop w:val="0"/>
          <w:marBottom w:val="0"/>
          <w:divBdr>
            <w:top w:val="none" w:sz="0" w:space="0" w:color="auto"/>
            <w:left w:val="none" w:sz="0" w:space="0" w:color="auto"/>
            <w:bottom w:val="none" w:sz="0" w:space="0" w:color="auto"/>
            <w:right w:val="none" w:sz="0" w:space="0" w:color="auto"/>
          </w:divBdr>
        </w:div>
        <w:div w:id="1382628003">
          <w:marLeft w:val="0"/>
          <w:marRight w:val="0"/>
          <w:marTop w:val="0"/>
          <w:marBottom w:val="0"/>
          <w:divBdr>
            <w:top w:val="none" w:sz="0" w:space="0" w:color="auto"/>
            <w:left w:val="none" w:sz="0" w:space="0" w:color="auto"/>
            <w:bottom w:val="none" w:sz="0" w:space="0" w:color="auto"/>
            <w:right w:val="none" w:sz="0" w:space="0" w:color="auto"/>
          </w:divBdr>
        </w:div>
      </w:divsChild>
    </w:div>
    <w:div w:id="557281343">
      <w:bodyDiv w:val="1"/>
      <w:marLeft w:val="0"/>
      <w:marRight w:val="0"/>
      <w:marTop w:val="0"/>
      <w:marBottom w:val="0"/>
      <w:divBdr>
        <w:top w:val="none" w:sz="0" w:space="0" w:color="auto"/>
        <w:left w:val="none" w:sz="0" w:space="0" w:color="auto"/>
        <w:bottom w:val="none" w:sz="0" w:space="0" w:color="auto"/>
        <w:right w:val="none" w:sz="0" w:space="0" w:color="auto"/>
      </w:divBdr>
      <w:divsChild>
        <w:div w:id="1308125150">
          <w:marLeft w:val="0"/>
          <w:marRight w:val="0"/>
          <w:marTop w:val="0"/>
          <w:marBottom w:val="0"/>
          <w:divBdr>
            <w:top w:val="none" w:sz="0" w:space="0" w:color="auto"/>
            <w:left w:val="none" w:sz="0" w:space="0" w:color="auto"/>
            <w:bottom w:val="none" w:sz="0" w:space="0" w:color="auto"/>
            <w:right w:val="none" w:sz="0" w:space="0" w:color="auto"/>
          </w:divBdr>
        </w:div>
        <w:div w:id="1158306835">
          <w:marLeft w:val="0"/>
          <w:marRight w:val="0"/>
          <w:marTop w:val="0"/>
          <w:marBottom w:val="0"/>
          <w:divBdr>
            <w:top w:val="none" w:sz="0" w:space="0" w:color="auto"/>
            <w:left w:val="none" w:sz="0" w:space="0" w:color="auto"/>
            <w:bottom w:val="none" w:sz="0" w:space="0" w:color="auto"/>
            <w:right w:val="none" w:sz="0" w:space="0" w:color="auto"/>
          </w:divBdr>
        </w:div>
        <w:div w:id="1466923417">
          <w:marLeft w:val="0"/>
          <w:marRight w:val="0"/>
          <w:marTop w:val="0"/>
          <w:marBottom w:val="0"/>
          <w:divBdr>
            <w:top w:val="none" w:sz="0" w:space="0" w:color="auto"/>
            <w:left w:val="none" w:sz="0" w:space="0" w:color="auto"/>
            <w:bottom w:val="none" w:sz="0" w:space="0" w:color="auto"/>
            <w:right w:val="none" w:sz="0" w:space="0" w:color="auto"/>
          </w:divBdr>
        </w:div>
        <w:div w:id="371393704">
          <w:marLeft w:val="0"/>
          <w:marRight w:val="0"/>
          <w:marTop w:val="0"/>
          <w:marBottom w:val="0"/>
          <w:divBdr>
            <w:top w:val="none" w:sz="0" w:space="0" w:color="auto"/>
            <w:left w:val="none" w:sz="0" w:space="0" w:color="auto"/>
            <w:bottom w:val="none" w:sz="0" w:space="0" w:color="auto"/>
            <w:right w:val="none" w:sz="0" w:space="0" w:color="auto"/>
          </w:divBdr>
        </w:div>
      </w:divsChild>
    </w:div>
    <w:div w:id="1122698333">
      <w:bodyDiv w:val="1"/>
      <w:marLeft w:val="0"/>
      <w:marRight w:val="0"/>
      <w:marTop w:val="0"/>
      <w:marBottom w:val="0"/>
      <w:divBdr>
        <w:top w:val="none" w:sz="0" w:space="0" w:color="auto"/>
        <w:left w:val="none" w:sz="0" w:space="0" w:color="auto"/>
        <w:bottom w:val="none" w:sz="0" w:space="0" w:color="auto"/>
        <w:right w:val="none" w:sz="0" w:space="0" w:color="auto"/>
      </w:divBdr>
      <w:divsChild>
        <w:div w:id="1082025793">
          <w:marLeft w:val="0"/>
          <w:marRight w:val="0"/>
          <w:marTop w:val="0"/>
          <w:marBottom w:val="0"/>
          <w:divBdr>
            <w:top w:val="none" w:sz="0" w:space="0" w:color="auto"/>
            <w:left w:val="none" w:sz="0" w:space="0" w:color="auto"/>
            <w:bottom w:val="none" w:sz="0" w:space="0" w:color="auto"/>
            <w:right w:val="none" w:sz="0" w:space="0" w:color="auto"/>
          </w:divBdr>
        </w:div>
        <w:div w:id="1624116069">
          <w:marLeft w:val="0"/>
          <w:marRight w:val="0"/>
          <w:marTop w:val="0"/>
          <w:marBottom w:val="0"/>
          <w:divBdr>
            <w:top w:val="none" w:sz="0" w:space="0" w:color="auto"/>
            <w:left w:val="none" w:sz="0" w:space="0" w:color="auto"/>
            <w:bottom w:val="none" w:sz="0" w:space="0" w:color="auto"/>
            <w:right w:val="none" w:sz="0" w:space="0" w:color="auto"/>
          </w:divBdr>
        </w:div>
        <w:div w:id="913127958">
          <w:marLeft w:val="0"/>
          <w:marRight w:val="0"/>
          <w:marTop w:val="0"/>
          <w:marBottom w:val="0"/>
          <w:divBdr>
            <w:top w:val="none" w:sz="0" w:space="0" w:color="auto"/>
            <w:left w:val="none" w:sz="0" w:space="0" w:color="auto"/>
            <w:bottom w:val="none" w:sz="0" w:space="0" w:color="auto"/>
            <w:right w:val="none" w:sz="0" w:space="0" w:color="auto"/>
          </w:divBdr>
        </w:div>
        <w:div w:id="1849249004">
          <w:marLeft w:val="0"/>
          <w:marRight w:val="0"/>
          <w:marTop w:val="0"/>
          <w:marBottom w:val="0"/>
          <w:divBdr>
            <w:top w:val="none" w:sz="0" w:space="0" w:color="auto"/>
            <w:left w:val="none" w:sz="0" w:space="0" w:color="auto"/>
            <w:bottom w:val="none" w:sz="0" w:space="0" w:color="auto"/>
            <w:right w:val="none" w:sz="0" w:space="0" w:color="auto"/>
          </w:divBdr>
        </w:div>
        <w:div w:id="530802676">
          <w:marLeft w:val="0"/>
          <w:marRight w:val="0"/>
          <w:marTop w:val="0"/>
          <w:marBottom w:val="0"/>
          <w:divBdr>
            <w:top w:val="none" w:sz="0" w:space="0" w:color="auto"/>
            <w:left w:val="none" w:sz="0" w:space="0" w:color="auto"/>
            <w:bottom w:val="none" w:sz="0" w:space="0" w:color="auto"/>
            <w:right w:val="none" w:sz="0" w:space="0" w:color="auto"/>
          </w:divBdr>
        </w:div>
        <w:div w:id="385303488">
          <w:marLeft w:val="0"/>
          <w:marRight w:val="0"/>
          <w:marTop w:val="0"/>
          <w:marBottom w:val="0"/>
          <w:divBdr>
            <w:top w:val="none" w:sz="0" w:space="0" w:color="auto"/>
            <w:left w:val="none" w:sz="0" w:space="0" w:color="auto"/>
            <w:bottom w:val="none" w:sz="0" w:space="0" w:color="auto"/>
            <w:right w:val="none" w:sz="0" w:space="0" w:color="auto"/>
          </w:divBdr>
        </w:div>
      </w:divsChild>
    </w:div>
    <w:div w:id="1255280088">
      <w:bodyDiv w:val="1"/>
      <w:marLeft w:val="0"/>
      <w:marRight w:val="0"/>
      <w:marTop w:val="0"/>
      <w:marBottom w:val="0"/>
      <w:divBdr>
        <w:top w:val="none" w:sz="0" w:space="0" w:color="auto"/>
        <w:left w:val="none" w:sz="0" w:space="0" w:color="auto"/>
        <w:bottom w:val="none" w:sz="0" w:space="0" w:color="auto"/>
        <w:right w:val="none" w:sz="0" w:space="0" w:color="auto"/>
      </w:divBdr>
      <w:divsChild>
        <w:div w:id="609048841">
          <w:marLeft w:val="0"/>
          <w:marRight w:val="0"/>
          <w:marTop w:val="0"/>
          <w:marBottom w:val="0"/>
          <w:divBdr>
            <w:top w:val="none" w:sz="0" w:space="0" w:color="auto"/>
            <w:left w:val="none" w:sz="0" w:space="0" w:color="auto"/>
            <w:bottom w:val="none" w:sz="0" w:space="0" w:color="auto"/>
            <w:right w:val="none" w:sz="0" w:space="0" w:color="auto"/>
          </w:divBdr>
        </w:div>
      </w:divsChild>
    </w:div>
    <w:div w:id="1439257143">
      <w:bodyDiv w:val="1"/>
      <w:marLeft w:val="0"/>
      <w:marRight w:val="0"/>
      <w:marTop w:val="0"/>
      <w:marBottom w:val="0"/>
      <w:divBdr>
        <w:top w:val="none" w:sz="0" w:space="0" w:color="auto"/>
        <w:left w:val="none" w:sz="0" w:space="0" w:color="auto"/>
        <w:bottom w:val="none" w:sz="0" w:space="0" w:color="auto"/>
        <w:right w:val="none" w:sz="0" w:space="0" w:color="auto"/>
      </w:divBdr>
      <w:divsChild>
        <w:div w:id="1820807000">
          <w:marLeft w:val="0"/>
          <w:marRight w:val="0"/>
          <w:marTop w:val="0"/>
          <w:marBottom w:val="0"/>
          <w:divBdr>
            <w:top w:val="none" w:sz="0" w:space="0" w:color="auto"/>
            <w:left w:val="none" w:sz="0" w:space="0" w:color="auto"/>
            <w:bottom w:val="none" w:sz="0" w:space="0" w:color="auto"/>
            <w:right w:val="none" w:sz="0" w:space="0" w:color="auto"/>
          </w:divBdr>
        </w:div>
        <w:div w:id="84889485">
          <w:marLeft w:val="0"/>
          <w:marRight w:val="0"/>
          <w:marTop w:val="0"/>
          <w:marBottom w:val="0"/>
          <w:divBdr>
            <w:top w:val="none" w:sz="0" w:space="0" w:color="auto"/>
            <w:left w:val="none" w:sz="0" w:space="0" w:color="auto"/>
            <w:bottom w:val="none" w:sz="0" w:space="0" w:color="auto"/>
            <w:right w:val="none" w:sz="0" w:space="0" w:color="auto"/>
          </w:divBdr>
        </w:div>
        <w:div w:id="39407265">
          <w:marLeft w:val="0"/>
          <w:marRight w:val="0"/>
          <w:marTop w:val="0"/>
          <w:marBottom w:val="0"/>
          <w:divBdr>
            <w:top w:val="none" w:sz="0" w:space="0" w:color="auto"/>
            <w:left w:val="none" w:sz="0" w:space="0" w:color="auto"/>
            <w:bottom w:val="none" w:sz="0" w:space="0" w:color="auto"/>
            <w:right w:val="none" w:sz="0" w:space="0" w:color="auto"/>
          </w:divBdr>
        </w:div>
        <w:div w:id="610825251">
          <w:marLeft w:val="0"/>
          <w:marRight w:val="0"/>
          <w:marTop w:val="0"/>
          <w:marBottom w:val="0"/>
          <w:divBdr>
            <w:top w:val="none" w:sz="0" w:space="0" w:color="auto"/>
            <w:left w:val="none" w:sz="0" w:space="0" w:color="auto"/>
            <w:bottom w:val="none" w:sz="0" w:space="0" w:color="auto"/>
            <w:right w:val="none" w:sz="0" w:space="0" w:color="auto"/>
          </w:divBdr>
        </w:div>
        <w:div w:id="134377557">
          <w:marLeft w:val="0"/>
          <w:marRight w:val="0"/>
          <w:marTop w:val="0"/>
          <w:marBottom w:val="0"/>
          <w:divBdr>
            <w:top w:val="none" w:sz="0" w:space="0" w:color="auto"/>
            <w:left w:val="none" w:sz="0" w:space="0" w:color="auto"/>
            <w:bottom w:val="none" w:sz="0" w:space="0" w:color="auto"/>
            <w:right w:val="none" w:sz="0" w:space="0" w:color="auto"/>
          </w:divBdr>
        </w:div>
        <w:div w:id="592517471">
          <w:marLeft w:val="0"/>
          <w:marRight w:val="0"/>
          <w:marTop w:val="0"/>
          <w:marBottom w:val="0"/>
          <w:divBdr>
            <w:top w:val="none" w:sz="0" w:space="0" w:color="auto"/>
            <w:left w:val="none" w:sz="0" w:space="0" w:color="auto"/>
            <w:bottom w:val="none" w:sz="0" w:space="0" w:color="auto"/>
            <w:right w:val="none" w:sz="0" w:space="0" w:color="auto"/>
          </w:divBdr>
        </w:div>
        <w:div w:id="1609197828">
          <w:marLeft w:val="0"/>
          <w:marRight w:val="0"/>
          <w:marTop w:val="0"/>
          <w:marBottom w:val="0"/>
          <w:divBdr>
            <w:top w:val="none" w:sz="0" w:space="0" w:color="auto"/>
            <w:left w:val="none" w:sz="0" w:space="0" w:color="auto"/>
            <w:bottom w:val="none" w:sz="0" w:space="0" w:color="auto"/>
            <w:right w:val="none" w:sz="0" w:space="0" w:color="auto"/>
          </w:divBdr>
        </w:div>
      </w:divsChild>
    </w:div>
    <w:div w:id="1471287885">
      <w:bodyDiv w:val="1"/>
      <w:marLeft w:val="0"/>
      <w:marRight w:val="0"/>
      <w:marTop w:val="0"/>
      <w:marBottom w:val="0"/>
      <w:divBdr>
        <w:top w:val="none" w:sz="0" w:space="0" w:color="auto"/>
        <w:left w:val="none" w:sz="0" w:space="0" w:color="auto"/>
        <w:bottom w:val="none" w:sz="0" w:space="0" w:color="auto"/>
        <w:right w:val="none" w:sz="0" w:space="0" w:color="auto"/>
      </w:divBdr>
      <w:divsChild>
        <w:div w:id="481384912">
          <w:marLeft w:val="0"/>
          <w:marRight w:val="0"/>
          <w:marTop w:val="0"/>
          <w:marBottom w:val="0"/>
          <w:divBdr>
            <w:top w:val="none" w:sz="0" w:space="0" w:color="auto"/>
            <w:left w:val="none" w:sz="0" w:space="0" w:color="auto"/>
            <w:bottom w:val="none" w:sz="0" w:space="0" w:color="auto"/>
            <w:right w:val="none" w:sz="0" w:space="0" w:color="auto"/>
          </w:divBdr>
        </w:div>
        <w:div w:id="297348278">
          <w:marLeft w:val="0"/>
          <w:marRight w:val="0"/>
          <w:marTop w:val="0"/>
          <w:marBottom w:val="0"/>
          <w:divBdr>
            <w:top w:val="none" w:sz="0" w:space="0" w:color="auto"/>
            <w:left w:val="none" w:sz="0" w:space="0" w:color="auto"/>
            <w:bottom w:val="none" w:sz="0" w:space="0" w:color="auto"/>
            <w:right w:val="none" w:sz="0" w:space="0" w:color="auto"/>
          </w:divBdr>
        </w:div>
        <w:div w:id="1243222630">
          <w:marLeft w:val="0"/>
          <w:marRight w:val="0"/>
          <w:marTop w:val="0"/>
          <w:marBottom w:val="0"/>
          <w:divBdr>
            <w:top w:val="none" w:sz="0" w:space="0" w:color="auto"/>
            <w:left w:val="none" w:sz="0" w:space="0" w:color="auto"/>
            <w:bottom w:val="none" w:sz="0" w:space="0" w:color="auto"/>
            <w:right w:val="none" w:sz="0" w:space="0" w:color="auto"/>
          </w:divBdr>
        </w:div>
      </w:divsChild>
    </w:div>
    <w:div w:id="1880312320">
      <w:bodyDiv w:val="1"/>
      <w:marLeft w:val="0"/>
      <w:marRight w:val="0"/>
      <w:marTop w:val="0"/>
      <w:marBottom w:val="0"/>
      <w:divBdr>
        <w:top w:val="none" w:sz="0" w:space="0" w:color="auto"/>
        <w:left w:val="none" w:sz="0" w:space="0" w:color="auto"/>
        <w:bottom w:val="none" w:sz="0" w:space="0" w:color="auto"/>
        <w:right w:val="none" w:sz="0" w:space="0" w:color="auto"/>
      </w:divBdr>
      <w:divsChild>
        <w:div w:id="1966811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2.xml" Id="rId13" /><Relationship Type="http://schemas.openxmlformats.org/officeDocument/2006/relationships/webSettings" Target="webSettings.xml" Id="rId3" /><Relationship Type="http://schemas.microsoft.com/office/2016/09/relationships/commentsIds" Target="commentsIds.xml" Id="rId7" /><Relationship Type="http://schemas.openxmlformats.org/officeDocument/2006/relationships/customXml" Target="../customXml/item1.xml" Id="rId12" /><Relationship Type="http://schemas.openxmlformats.org/officeDocument/2006/relationships/settings" Target="settings.xml" Id="rId2" /><Relationship Type="http://schemas.openxmlformats.org/officeDocument/2006/relationships/styles" Target="styles.xml" Id="rId1" /><Relationship Type="http://schemas.microsoft.com/office/2011/relationships/commentsExtended" Target="commentsExtended.xml" Id="rId6" /><Relationship Type="http://schemas.openxmlformats.org/officeDocument/2006/relationships/theme" Target="theme/theme1.xml" Id="rId11" /><Relationship Type="http://schemas.microsoft.com/office/2011/relationships/people" Target="people.xml" Id="rId10" /><Relationship Type="http://schemas.openxmlformats.org/officeDocument/2006/relationships/hyperlink" Target="https://www.bloomberglaw.com/product/tax/page/MLI_watch" TargetMode="External" Id="rId4" /><Relationship Type="http://schemas.openxmlformats.org/officeDocument/2006/relationships/fontTable" Target="fontTable.xml" Id="rId9" /><Relationship Type="http://schemas.openxmlformats.org/officeDocument/2006/relationships/customXml" Target="../customXml/item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045C6645180C49B5F3BF356B510BE9" ma:contentTypeVersion="17" ma:contentTypeDescription="Create a new document." ma:contentTypeScope="" ma:versionID="2c6bca6ae87860cc664dcbd0daa72b8e">
  <xsd:schema xmlns:xsd="http://www.w3.org/2001/XMLSchema" xmlns:xs="http://www.w3.org/2001/XMLSchema" xmlns:p="http://schemas.microsoft.com/office/2006/metadata/properties" xmlns:ns1="http://schemas.microsoft.com/sharepoint/v3" xmlns:ns2="51449d4f-8e51-4d4e-9219-a2af429b1568" xmlns:ns3="c7bd160f-8f9f-4a57-9297-bc564d29ee4c" targetNamespace="http://schemas.microsoft.com/office/2006/metadata/properties" ma:root="true" ma:fieldsID="d019ddc29850bebcffe0c463fdaac375" ns1:_="" ns2:_="" ns3:_="">
    <xsd:import namespace="http://schemas.microsoft.com/sharepoint/v3"/>
    <xsd:import namespace="51449d4f-8e51-4d4e-9219-a2af429b1568"/>
    <xsd:import namespace="c7bd160f-8f9f-4a57-9297-bc564d29ee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49d4f-8e51-4d4e-9219-a2af429b1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a1f6d0e-4965-4b60-ae9c-964c369ac52e}" ma:internalName="TaxCatchAll" ma:showField="CatchAllData" ma:web="51449d4f-8e51-4d4e-9219-a2af429b1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bd160f-8f9f-4a57-9297-bc564d29ee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449d4f-8e51-4d4e-9219-a2af429b1568" xsi:nil="true"/>
    <lcf76f155ced4ddcb4097134ff3c332f xmlns="c7bd160f-8f9f-4a57-9297-bc564d29ee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5E96A3A-D7F8-45E3-A394-BB3FA68B0680}"/>
</file>

<file path=customXml/itemProps2.xml><?xml version="1.0" encoding="utf-8"?>
<ds:datastoreItem xmlns:ds="http://schemas.openxmlformats.org/officeDocument/2006/customXml" ds:itemID="{24172454-73F4-4A94-8A6E-B0CA8B5696D7}"/>
</file>

<file path=customXml/itemProps3.xml><?xml version="1.0" encoding="utf-8"?>
<ds:datastoreItem xmlns:ds="http://schemas.openxmlformats.org/officeDocument/2006/customXml" ds:itemID="{002F1EE9-7AA8-45F2-8046-37AFFCF7C1C3}"/>
</file>

<file path=docMetadata/LabelInfo.xml><?xml version="1.0" encoding="utf-8"?>
<clbl:labelList xmlns:clbl="http://schemas.microsoft.com/office/2020/mipLabelMetadata">
  <clbl:label id="{f786616f-5bb4-45d1-b9c4-7a19bded0f1d}" enabled="1" method="Standard" siteId="{97be21fd-c601-4b16-9920-f5accc69da65}" contentBits="0"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Bloomberg Industry Group</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Parello, Christina</dc:creator>
  <keywords/>
  <dc:description/>
  <lastModifiedBy>Parello, Christina</lastModifiedBy>
  <revision>44</revision>
  <dcterms:created xsi:type="dcterms:W3CDTF">2025-03-07T14:49:00.0000000Z</dcterms:created>
  <dcterms:modified xsi:type="dcterms:W3CDTF">2025-03-31T12:49:33.3983401Z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0x01010074045C6645180C49B5F3BF356B510BE9</vt:lpwstr>
  </property>
  <property fmtid="{D5CDD505-2E9C-101B-9397-08002B2CF9AE}" pid="3" name="MediaServiceImageTags">
    <vt:lpwstr/>
  </property>
</Properties>
</file>